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leo: 14-23 de abril, 14-23 de mayo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leo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leo: 14-23 de abril, 14-23 de mayo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leo: 14-23 de abril, 14-23 de mayo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leo: 14-23 de abril, 14-23 de mayo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