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Πήγασος: 8-17 Οκτωβρίου, 7-16 Νοεμβρίου,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Πήγασος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Πήγασος: 8-17 Οκτωβρίου, 7-16 Νοεμβρίου,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Πήγασος: 8-17 Οκτωβρίου, 7-16 Νοεμβρίου,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Πήγασος: 8-17 Οκτωβρίου, 7-16 Νοεμβρίου,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