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14 a 23 de maio, 13 a 22 de junho, 12 a 21 de julho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rPr>
          <w:rStyle w:val="GaNStyle"/>
        </w:rPr>
        <w:t>Datas das campanhas de 2022 que usam constelação de botas: 14 a 23 de maio, 13 a 22 de junho, 12 a 21 de julho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Style w:val="GaNStyle"/>
        </w:rPr>
        <w:t>Datas das campanhas de 2022 que usam constelação de botas: 14 a 23 de maio, 13 a 22 de junho, 12 a 21 de julho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botas: 14 a 23 de maio, 13 a 22 de junho, 12 a 21 de julho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