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Rasi sepatu bot: 14 Mei - 23 Mei, 13 Juni - 22 Juni, 12 Juli - 21 Juli.</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Rasi sepatu bot: 14 Mei - 23 Mei, 13 Juni - 22 Juni, 12 Juli - 21 Juli.</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Rasi sepatu bot: 14 Mei - 23 Mei, 13 Juni - 22 Juni, 12 Juli - 21 Juli.</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Rasi sepatu bot: 14 Mei - 23 Mei, 13 Juni - 22 Juni, 12 Juli - 21 Juli.</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