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rPr>
          <w:rStyle w:val="GaNStyle"/>
        </w:rPr>
        <w:t>2022 Ημερομηνίες παρατήρησης για τον  Αστερισμός του Κύκνου: 10-19 Αυγούστου, 9-18 Σεπτεμβρίου, 8-17 Οκτωβρίου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Κύκνου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rPr>
          <w:rStyle w:val="GaNStyle"/>
        </w:rPr>
        <w:t>2022 Ημερομηνίες παρατήρησης για τον  Αστερισμός του Κύκνου: 10-19 Αυγούστου, 9-18 Σεπτεμβρίου, 8-17 Οκτωβρίου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rPr>
          <w:rStyle w:val="GaNStyle"/>
        </w:rPr>
        <w:t>2022 Ημερομηνίες παρατήρησης για τον  Αστερισμός του Κύκνου: 10-19 Αυγούστου, 9-18 Σεπτεμβρίου, 8-17 Οκτωβρίου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rPr>
          <w:rStyle w:val="GaNStyle"/>
        </w:rPr>
        <w:t>2022 Ημερομηνίες παρατήρησης για τον  Αστερισμός του Κύκνου: 10-19 Αυγούστου, 9-18 Σεπτεμβρίου, 8-17 Οκτωβρίου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