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Herkulovo ozvezdje: 13.–22. junij, 12.–21. julij, 10.–19.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Herkulovo ozvezdje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Herkulovo ozvezdje: 13.–22. junij, 12.–21. julij, 10.–19.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Herkulovo ozvezdje: 13.–22. junij, 12.–21. julij, 10.–19.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Herkulovo ozvezdje: 13.–22. junij, 12.–21. julij, 10.–19.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