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A8276A"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Pr>
          <w:rStyle w:val="GaNStyle"/>
        </w:rPr>
        <w:t>獅子座： 2022年4月14-23日，5月14-23日.</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獅子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A8276A"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Pr>
          <w:rStyle w:val="GaNStyle"/>
        </w:rPr>
        <w:t>獅子座： 2022年4月14-23日，5月14-23日.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A8276A"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Pr>
          <w:rStyle w:val="GaNStyle"/>
        </w:rPr>
        <w:t>獅子座： 2022年4月14-23日，5月14-23日.</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A8276A"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Pr>
          <w:rStyle w:val="GaNStyle"/>
        </w:rPr>
        <w:t>獅子座： 2022年4月14-23日，5月14-23日.</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3411</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7</cp:revision>
  <cp:lastPrinted>2013-10-03T22:05:00Z</cp:lastPrinted>
  <dcterms:created xsi:type="dcterms:W3CDTF">2018-07-30T03:10:00Z</dcterms:created>
  <dcterms:modified xsi:type="dcterms:W3CDTF">2022-06-27T12:44:00Z</dcterms:modified>
</cp:coreProperties>
</file>