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rPr>
          <w:rStyle w:val="GaNStyle"/>
        </w:rPr>
        <w:t>Kampagnendaten 2022 für das Perseus-Konstellation: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Style w:val="GaNParagraph"/>
        </w:rPr>
        <w:t>Mach mit an einer weltweiten Kampagne, die schwächsten sichtbaren Sterne zu beobachten und aufzuzeichnen, um die Lichtverschmutzung an einem Ort zu messen. Durch das Auffinden und Beobachten des Perseus-Konstellation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/>
      <w:r>
        <w:rPr>
          <w:rStyle w:val="GaNLinks"/>
        </w:rPr>
        <w:t>Die Schaubilder in diesem Dokument wurden von Jan Hollan, CzechGlobe, bereitgestellt. (http://amper.ped.muni.cz/jenik/astro/maps/GaNight/2022/).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rPr>
          <w:rStyle w:val="GaNStyle"/>
        </w:rPr>
        <w:t>Kampagnendaten 2022 für das Perseus-Konstellation: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rPr>
          <w:rStyle w:val="GaNStyle"/>
        </w:rPr>
        <w:t>Kampagnendaten 2022 für das Perseus-Konstellation: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Kampagnendaten 2022 für das Perseus-Konstellation: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