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Taurului: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Taurului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Taurului: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Taurului: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Taurului: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