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sepatu bot: 13-22 Juni</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sepatu bot: 13-22 Juni</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sepatu bot: 13-22 Juni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sepatu bot: 13-22 Juni</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