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Grus: 9 de setembro a 18 de setembro, 8 de outubro a 17 de outubro, 7 de novembro a 16 de novembro, 6 de dezembro a 15 de dezembro.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Grus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Grus: 9 de setembro a 18 de setembro, 8 de outubro a 17 de outubro, 7 de novembro a 16 de novembro, 6 de dezembro a 15 de dezembro.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Grus: 9 de setembro a 18 de setembro, 8 de outubro a 17 de outubro, 7 de novembro a 16 de novembro, 6 de dezembro a 15 de dezembro.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Grus: 9 de setembro a 18 de setembro, 8 de outubro a 17 de outubro, 7 de novembro a 16 de novembro, 6 de dezembro a 15 de dezembro.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