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Hércules: 12 a 21 de julho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Hércules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Hércules: 12 a 21 de julho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Hércules: 12 a 21 de julho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Hércules: 12 a 21 de julho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