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12</w:t>
      </w:r>
    </w:p>
    <w:p>
      <w:pPr>
        <w:jc w:val="center"/>
      </w:pPr>
      <w:r>
        <w:rPr>
          <w:b/>
          <w:color w:val="1E3A5F"/>
          <w:sz w:val="32"/>
        </w:rPr>
        <w:t>AI Sovereignty Protocol Definition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t>Document Version:</w:t>
            </w:r>
          </w:p>
        </w:tc>
        <w:tc>
          <w:tcPr>
            <w:tcW w:type="dxa" w:w="4320"/>
            <w:shd w:fill="E8EEF4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  <w:shd w:fill="E8EEF4"/>
          </w:tcPr>
          <w:p>
            <w:r>
              <w:t>Review Cycle:</w:t>
            </w:r>
          </w:p>
        </w:tc>
        <w:tc>
          <w:tcPr>
            <w:tcW w:type="dxa" w:w="4320"/>
            <w:shd w:fill="E8EEF4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NoDrftSystems Operations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EXECUTIVE SUMMARY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AI Sovereignty Protocol defines how NoDrftSystems maintains control, ownership, and accountability over all AI-generated outputs while delivering exceptional value to clients. This protocol establishes clear boundaries between AI assistance and human judgment, ensuring compliance, quality, and ethical standards.</w:t>
      </w:r>
    </w:p>
    <w:p/>
    <w:p>
      <w:pPr>
        <w:pStyle w:val="Heading1"/>
      </w:pPr>
      <w:r>
        <w:rPr>
          <w:b/>
          <w:color w:val="1E3A5F"/>
          <w:sz w:val="32"/>
        </w:rPr>
        <w:t>1. CORE PRINCIPLES</w:t>
      </w:r>
    </w:p>
    <w:p>
      <w:pPr>
        <w:spacing w:after="160"/>
      </w:pPr>
      <w:r>
        <w:rPr>
          <w:b/>
        </w:rPr>
        <w:t xml:space="preserve">Human-in-the-Loop (HITL): </w:t>
      </w:r>
      <w:r>
        <w:rPr>
          <w:sz w:val="22"/>
        </w:rPr>
        <w:t>All AI-generated outputs require human review, validation, and approval before client delivery. AI augments human capability; it does not replace human judgment.</w:t>
      </w:r>
    </w:p>
    <w:p>
      <w:pPr>
        <w:spacing w:after="160"/>
      </w:pPr>
      <w:r>
        <w:rPr>
          <w:b/>
        </w:rPr>
        <w:t xml:space="preserve">Accountability: </w:t>
      </w:r>
      <w:r>
        <w:rPr>
          <w:sz w:val="22"/>
        </w:rPr>
        <w:t>NoDrftSystems maintains full legal and professional accountability for all deliverables, regardless of AI involvement in their creation.</w:t>
      </w:r>
    </w:p>
    <w:p>
      <w:pPr>
        <w:spacing w:after="160"/>
      </w:pPr>
      <w:r>
        <w:rPr>
          <w:b/>
        </w:rPr>
        <w:t xml:space="preserve">Transparency: </w:t>
      </w:r>
      <w:r>
        <w:rPr>
          <w:sz w:val="22"/>
        </w:rPr>
        <w:t>Clients are informed of AI involvement as required by contract and applicable law. NoDrftSystems discloses AI usage in accordance with MSA Section 2.2.</w:t>
      </w:r>
    </w:p>
    <w:p>
      <w:pPr>
        <w:spacing w:after="160"/>
      </w:pPr>
      <w:r>
        <w:rPr>
          <w:b/>
        </w:rPr>
        <w:t xml:space="preserve">Quality Assurance: </w:t>
      </w:r>
      <w:r>
        <w:rPr>
          <w:sz w:val="22"/>
        </w:rPr>
        <w:t>AI outputs undergo the same rigorous QA process as human-created work, including the Multi-Pass Checklist defined in Addendum 8.</w:t>
      </w:r>
    </w:p>
    <w:p>
      <w:pPr>
        <w:spacing w:after="160"/>
      </w:pPr>
      <w:r>
        <w:rPr>
          <w:b/>
        </w:rPr>
        <w:t xml:space="preserve">Data Sovereignty: </w:t>
      </w:r>
      <w:r>
        <w:rPr>
          <w:sz w:val="22"/>
        </w:rPr>
        <w:t>Client data is never used to train third-party AI models without explicit written consent.</w:t>
      </w:r>
    </w:p>
    <w:p>
      <w:pPr>
        <w:spacing w:after="160"/>
      </w:pPr>
      <w:r>
        <w:rPr>
          <w:b/>
        </w:rPr>
        <w:t xml:space="preserve">Ethical Use: </w:t>
      </w:r>
      <w:r>
        <w:rPr>
          <w:sz w:val="22"/>
        </w:rPr>
        <w:t>AI is used responsibly and ethically, in compliance with applicable laws and professional standards.</w:t>
      </w:r>
    </w:p>
    <w:p/>
    <w:p>
      <w:pPr>
        <w:pStyle w:val="Heading1"/>
      </w:pPr>
      <w:r>
        <w:rPr>
          <w:b/>
          <w:color w:val="1E3A5F"/>
          <w:sz w:val="32"/>
        </w:rPr>
        <w:t>2. AI USAGE CATEGORIES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NoDrftSystems categorizes AI involvement in deliverables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Disclosure Required</w:t>
            </w:r>
          </w:p>
        </w:tc>
      </w:tr>
      <w:tr>
        <w:tc>
          <w:tcPr>
            <w:tcW w:type="dxa" w:w="2880"/>
          </w:tcPr>
          <w:p>
            <w:r>
              <w:t>AI-Assisted</w:t>
            </w:r>
          </w:p>
        </w:tc>
        <w:tc>
          <w:tcPr>
            <w:tcW w:type="dxa" w:w="2880"/>
          </w:tcPr>
          <w:p>
            <w:r>
              <w:t>Human creates content; AI provides suggestions, edits, or enhancements</w:t>
            </w:r>
          </w:p>
        </w:tc>
        <w:tc>
          <w:tcPr>
            <w:tcW w:type="dxa" w:w="2880"/>
          </w:tcPr>
          <w:p>
            <w:r>
              <w:t>Per MSA</w:t>
            </w:r>
          </w:p>
        </w:tc>
      </w:tr>
      <w:tr>
        <w:tc>
          <w:tcPr>
            <w:tcW w:type="dxa" w:w="2880"/>
          </w:tcPr>
          <w:p>
            <w:r>
              <w:t>AI-Generated</w:t>
            </w:r>
          </w:p>
        </w:tc>
        <w:tc>
          <w:tcPr>
            <w:tcW w:type="dxa" w:w="2880"/>
          </w:tcPr>
          <w:p>
            <w:r>
              <w:t>AI creates initial draft; human reviews, edits, and approves</w:t>
            </w:r>
          </w:p>
        </w:tc>
        <w:tc>
          <w:tcPr>
            <w:tcW w:type="dxa" w:w="2880"/>
          </w:tcPr>
          <w:p>
            <w:r>
              <w:t>Per MSA</w:t>
            </w:r>
          </w:p>
        </w:tc>
      </w:tr>
      <w:tr>
        <w:tc>
          <w:tcPr>
            <w:tcW w:type="dxa" w:w="2880"/>
          </w:tcPr>
          <w:p>
            <w:r>
              <w:t>AI-Enabled</w:t>
            </w:r>
          </w:p>
        </w:tc>
        <w:tc>
          <w:tcPr>
            <w:tcW w:type="dxa" w:w="2880"/>
          </w:tcPr>
          <w:p>
            <w:r>
              <w:t>AI performs automated tasks (e.g., data processing, formatting)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3. HUMAN REVIEW REQUIREMENTS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All AI-generated content must undergo human review before client delivery. The review process includes:</w:t>
      </w:r>
    </w:p>
    <w:p>
      <w:pPr>
        <w:pStyle w:val="ListBullet"/>
        <w:ind w:left="720"/>
      </w:pPr>
      <w:r>
        <w:rPr>
          <w:b/>
        </w:rPr>
        <w:t xml:space="preserve">Accuracy Verification: </w:t>
      </w:r>
      <w:r>
        <w:rPr>
          <w:sz w:val="22"/>
        </w:rPr>
        <w:t>Fact-check all claims, data, and references.</w:t>
      </w:r>
    </w:p>
    <w:p>
      <w:pPr>
        <w:pStyle w:val="ListBullet"/>
        <w:ind w:left="720"/>
      </w:pPr>
      <w:r>
        <w:rPr>
          <w:b/>
        </w:rPr>
        <w:t xml:space="preserve">Contextual Appropriateness: </w:t>
      </w:r>
      <w:r>
        <w:rPr>
          <w:sz w:val="22"/>
        </w:rPr>
        <w:t>Ensure content is appropriate for client industry and audience.</w:t>
      </w:r>
    </w:p>
    <w:p>
      <w:pPr>
        <w:pStyle w:val="ListBullet"/>
        <w:ind w:left="720"/>
      </w:pPr>
      <w:r>
        <w:rPr>
          <w:b/>
        </w:rPr>
        <w:t xml:space="preserve">Brand Alignment: </w:t>
      </w:r>
      <w:r>
        <w:rPr>
          <w:sz w:val="22"/>
        </w:rPr>
        <w:t>Verify consistency with client brand voice and guidelines.</w:t>
      </w:r>
    </w:p>
    <w:p>
      <w:pPr>
        <w:pStyle w:val="ListBullet"/>
        <w:ind w:left="720"/>
      </w:pPr>
      <w:r>
        <w:rPr>
          <w:b/>
        </w:rPr>
        <w:t xml:space="preserve">Legal Compliance: </w:t>
      </w:r>
      <w:r>
        <w:rPr>
          <w:sz w:val="22"/>
        </w:rPr>
        <w:t>Check for potential IP, privacy, or regulatory issues.</w:t>
      </w:r>
    </w:p>
    <w:p>
      <w:pPr>
        <w:pStyle w:val="ListBullet"/>
        <w:ind w:left="720"/>
      </w:pPr>
      <w:r>
        <w:rPr>
          <w:b/>
        </w:rPr>
        <w:t xml:space="preserve">Technical Correctness: </w:t>
      </w:r>
      <w:r>
        <w:rPr>
          <w:sz w:val="22"/>
        </w:rPr>
        <w:t>Validate code, calculations, and technical specifications.</w:t>
      </w:r>
    </w:p>
    <w:p>
      <w:pPr>
        <w:pStyle w:val="ListBullet"/>
        <w:ind w:left="720"/>
      </w:pPr>
      <w:r>
        <w:rPr>
          <w:b/>
        </w:rPr>
        <w:t xml:space="preserve">Completeness: </w:t>
      </w:r>
      <w:r>
        <w:rPr>
          <w:sz w:val="22"/>
        </w:rPr>
        <w:t>Confirm all requirements from SOW are addressed.</w:t>
      </w:r>
    </w:p>
    <w:p/>
    <w:p>
      <w:pPr>
        <w:pStyle w:val="Heading1"/>
      </w:pPr>
      <w:r>
        <w:rPr>
          <w:b/>
          <w:color w:val="1E3A5F"/>
          <w:sz w:val="32"/>
        </w:rPr>
        <w:t>4. CLIENT DATA HANDLING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NoDrftSystems adheres to strict data handling protocols when using AI tools:</w:t>
      </w:r>
    </w:p>
    <w:p>
      <w:pPr>
        <w:pStyle w:val="ListBullet"/>
        <w:ind w:left="720"/>
      </w:pPr>
      <w:r>
        <w:rPr>
          <w:sz w:val="22"/>
        </w:rPr>
        <w:t>Client confidential information is only processed through approved AI tools with appropriate data protection agreements.</w:t>
      </w:r>
    </w:p>
    <w:p>
      <w:pPr>
        <w:pStyle w:val="ListBullet"/>
        <w:ind w:left="720"/>
      </w:pPr>
      <w:r>
        <w:rPr>
          <w:sz w:val="22"/>
        </w:rPr>
        <w:t>No client data is used to train or improve third-party AI models without explicit written consent.</w:t>
      </w:r>
    </w:p>
    <w:p>
      <w:pPr>
        <w:pStyle w:val="ListBullet"/>
        <w:ind w:left="720"/>
      </w:pPr>
      <w:r>
        <w:rPr>
          <w:sz w:val="22"/>
        </w:rPr>
        <w:t>All AI tool providers must have SOC 2 Type II certification or equivalent security standards.</w:t>
      </w:r>
    </w:p>
    <w:p>
      <w:pPr>
        <w:pStyle w:val="ListBullet"/>
        <w:ind w:left="720"/>
      </w:pPr>
      <w:r>
        <w:rPr>
          <w:sz w:val="22"/>
        </w:rPr>
        <w:t>Client data is deleted from AI tool systems after project completion unless retention is contractually required.</w:t>
      </w:r>
    </w:p>
    <w:p>
      <w:pPr>
        <w:pStyle w:val="ListBullet"/>
        <w:ind w:left="720"/>
      </w:pPr>
      <w:r>
        <w:rPr>
          <w:sz w:val="22"/>
        </w:rPr>
        <w:t>Anonymized or synthetic data is used for testing and development where possible.</w:t>
      </w:r>
    </w:p>
    <w:p/>
    <w:p>
      <w:pPr>
        <w:pStyle w:val="Heading1"/>
      </w:pPr>
      <w:r>
        <w:rPr>
          <w:b/>
          <w:color w:val="1E3A5F"/>
          <w:sz w:val="32"/>
        </w:rPr>
        <w:t>5. APPROVED AI TOOLS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NoDrftSystems maintains a whitelist of approved AI tools. All tools must be reviewed and approved by Operations before use on client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Tool Category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Approved Tools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Data Classification</w:t>
            </w:r>
          </w:p>
        </w:tc>
      </w:tr>
      <w:tr>
        <w:tc>
          <w:tcPr>
            <w:tcW w:type="dxa" w:w="2160"/>
          </w:tcPr>
          <w:p>
            <w:r>
              <w:t>LLM/Content</w:t>
            </w:r>
          </w:p>
        </w:tc>
        <w:tc>
          <w:tcPr>
            <w:tcW w:type="dxa" w:w="2160"/>
          </w:tcPr>
          <w:p>
            <w:r>
              <w:t>[Approved providers]</w:t>
            </w:r>
          </w:p>
        </w:tc>
        <w:tc>
          <w:tcPr>
            <w:tcW w:type="dxa" w:w="2160"/>
          </w:tcPr>
          <w:p>
            <w:r>
              <w:t>Draft generation, editing</w:t>
            </w:r>
          </w:p>
        </w:tc>
        <w:tc>
          <w:tcPr>
            <w:tcW w:type="dxa" w:w="2160"/>
          </w:tcPr>
          <w:p>
            <w:r>
              <w:t>Non-confidential only</w:t>
            </w:r>
          </w:p>
        </w:tc>
      </w:tr>
      <w:tr>
        <w:tc>
          <w:tcPr>
            <w:tcW w:type="dxa" w:w="2160"/>
          </w:tcPr>
          <w:p>
            <w:r>
              <w:t>Code Assist</w:t>
            </w:r>
          </w:p>
        </w:tc>
        <w:tc>
          <w:tcPr>
            <w:tcW w:type="dxa" w:w="2160"/>
          </w:tcPr>
          <w:p>
            <w:r>
              <w:t>[Approved providers]</w:t>
            </w:r>
          </w:p>
        </w:tc>
        <w:tc>
          <w:tcPr>
            <w:tcW w:type="dxa" w:w="2160"/>
          </w:tcPr>
          <w:p>
            <w:r>
              <w:t>Code generation, review</w:t>
            </w:r>
          </w:p>
        </w:tc>
        <w:tc>
          <w:tcPr>
            <w:tcW w:type="dxa" w:w="2160"/>
          </w:tcPr>
          <w:p>
            <w:r>
              <w:t>Internal code only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[Approved providers]</w:t>
            </w:r>
          </w:p>
        </w:tc>
        <w:tc>
          <w:tcPr>
            <w:tcW w:type="dxa" w:w="2160"/>
          </w:tcPr>
          <w:p>
            <w:r>
              <w:t>Asset generation</w:t>
            </w:r>
          </w:p>
        </w:tc>
        <w:tc>
          <w:tcPr>
            <w:tcW w:type="dxa" w:w="2160"/>
          </w:tcPr>
          <w:p>
            <w:r>
              <w:t>Non-confidential only</w:t>
            </w:r>
          </w:p>
        </w:tc>
      </w:tr>
      <w:tr>
        <w:tc>
          <w:tcPr>
            <w:tcW w:type="dxa" w:w="2160"/>
          </w:tcPr>
          <w:p>
            <w:r>
              <w:t>Data Analysis</w:t>
            </w:r>
          </w:p>
        </w:tc>
        <w:tc>
          <w:tcPr>
            <w:tcW w:type="dxa" w:w="2160"/>
          </w:tcPr>
          <w:p>
            <w:r>
              <w:t>[Approved providers]</w:t>
            </w:r>
          </w:p>
        </w:tc>
        <w:tc>
          <w:tcPr>
            <w:tcW w:type="dxa" w:w="2160"/>
          </w:tcPr>
          <w:p>
            <w:r>
              <w:t>Processing, visualization</w:t>
            </w:r>
          </w:p>
        </w:tc>
        <w:tc>
          <w:tcPr>
            <w:tcW w:type="dxa" w:w="2160"/>
          </w:tcPr>
          <w:p>
            <w:r>
              <w:t>Anonymized data</w:t>
            </w:r>
          </w:p>
        </w:tc>
      </w:tr>
      <w:tr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[Approved providers]</w:t>
            </w:r>
          </w:p>
        </w:tc>
        <w:tc>
          <w:tcPr>
            <w:tcW w:type="dxa" w:w="2160"/>
          </w:tcPr>
          <w:p>
            <w:r>
              <w:t>Information synthesis</w:t>
            </w:r>
          </w:p>
        </w:tc>
        <w:tc>
          <w:tcPr>
            <w:tcW w:type="dxa" w:w="2160"/>
          </w:tcPr>
          <w:p>
            <w:r>
              <w:t>Public sources only</w:t>
            </w:r>
          </w:p>
        </w:tc>
      </w:tr>
    </w:tbl>
    <w:p/>
    <w:p>
      <w:pPr>
        <w:spacing w:after="120"/>
      </w:pPr>
      <w:r>
        <w:rPr>
          <w:b w:val="0"/>
          <w:i/>
          <w:color w:val="2C3E50"/>
          <w:sz w:val="22"/>
        </w:rPr>
        <w:t>Note: The approved tools list is maintained internally and updated quarterly. Contact Operations for the current whitelist.</w:t>
      </w:r>
    </w:p>
    <w:p/>
    <w:p>
      <w:pPr>
        <w:pStyle w:val="Heading1"/>
      </w:pPr>
      <w:r>
        <w:rPr>
          <w:b/>
          <w:color w:val="1E3A5F"/>
          <w:sz w:val="32"/>
        </w:rPr>
        <w:t>6. PROHIBITED AI USES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following uses of AI are strictly prohibited:</w:t>
      </w:r>
    </w:p>
    <w:p>
      <w:pPr>
        <w:pStyle w:val="ListBullet"/>
        <w:ind w:left="720"/>
      </w:pPr>
      <w:r>
        <w:rPr>
          <w:sz w:val="22"/>
        </w:rPr>
        <w:t>Generating content that infringes on third-party intellectual property rights.</w:t>
      </w:r>
    </w:p>
    <w:p>
      <w:pPr>
        <w:pStyle w:val="ListBullet"/>
        <w:ind w:left="720"/>
      </w:pPr>
      <w:r>
        <w:rPr>
          <w:sz w:val="22"/>
        </w:rPr>
        <w:t>Creating deceptive, misleading, or fraudulent content.</w:t>
      </w:r>
    </w:p>
    <w:p>
      <w:pPr>
        <w:pStyle w:val="ListBullet"/>
        <w:ind w:left="720"/>
      </w:pPr>
      <w:r>
        <w:rPr>
          <w:sz w:val="22"/>
        </w:rPr>
        <w:t>Processing protected health information (PHI) without HIPAA-compliant tools and BAA.</w:t>
      </w:r>
    </w:p>
    <w:p>
      <w:pPr>
        <w:pStyle w:val="ListBullet"/>
        <w:ind w:left="720"/>
      </w:pPr>
      <w:r>
        <w:rPr>
          <w:sz w:val="22"/>
        </w:rPr>
        <w:t>Using AI to make decisions that could have legal or significant consequences without human oversight.</w:t>
      </w:r>
    </w:p>
    <w:p>
      <w:pPr>
        <w:pStyle w:val="ListBullet"/>
        <w:ind w:left="720"/>
      </w:pPr>
      <w:r>
        <w:rPr>
          <w:sz w:val="22"/>
        </w:rPr>
        <w:t>Uploading client confidential data to unapproved or consumer-grade AI tools.</w:t>
      </w:r>
    </w:p>
    <w:p>
      <w:pPr>
        <w:pStyle w:val="ListBullet"/>
        <w:ind w:left="720"/>
      </w:pPr>
      <w:r>
        <w:rPr>
          <w:sz w:val="22"/>
        </w:rPr>
        <w:t>Representing AI-generated content as solely human-created without disclosure (where required).</w:t>
      </w:r>
    </w:p>
    <w:p>
      <w:pPr>
        <w:pStyle w:val="ListBullet"/>
        <w:ind w:left="720"/>
      </w:pPr>
      <w:r>
        <w:rPr>
          <w:sz w:val="22"/>
        </w:rPr>
        <w:t>Using AI to generate content that violates applicable laws or professional ethics.</w:t>
      </w:r>
    </w:p>
    <w:p/>
    <w:p>
      <w:pPr>
        <w:pStyle w:val="Heading1"/>
      </w:pPr>
      <w:r>
        <w:rPr>
          <w:b/>
          <w:color w:val="1E3A5F"/>
          <w:sz w:val="32"/>
        </w:rPr>
        <w:t>7. DOCUMENTATION REQUIREMENTS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For audit and compliance purposes, the following must be documented:</w:t>
      </w:r>
    </w:p>
    <w:p>
      <w:pPr>
        <w:pStyle w:val="ListBullet"/>
        <w:ind w:left="720"/>
      </w:pPr>
      <w:r>
        <w:rPr>
          <w:sz w:val="22"/>
        </w:rPr>
        <w:t>Which AI tools were used in creating deliverables.</w:t>
      </w:r>
    </w:p>
    <w:p>
      <w:pPr>
        <w:pStyle w:val="ListBullet"/>
        <w:ind w:left="720"/>
      </w:pPr>
      <w:r>
        <w:rPr>
          <w:sz w:val="22"/>
        </w:rPr>
        <w:t>The extent of AI involvement (AI-Assisted, AI-Generated, AI-Enabled).</w:t>
      </w:r>
    </w:p>
    <w:p>
      <w:pPr>
        <w:pStyle w:val="ListBullet"/>
        <w:ind w:left="720"/>
      </w:pPr>
      <w:r>
        <w:rPr>
          <w:sz w:val="22"/>
        </w:rPr>
        <w:t>Who performed human review and approval.</w:t>
      </w:r>
    </w:p>
    <w:p>
      <w:pPr>
        <w:pStyle w:val="ListBullet"/>
        <w:ind w:left="720"/>
      </w:pPr>
      <w:r>
        <w:rPr>
          <w:sz w:val="22"/>
        </w:rPr>
        <w:t>Any known limitations or caveats related to AI-generated content.</w:t>
      </w:r>
    </w:p>
    <w:p>
      <w:pPr>
        <w:pStyle w:val="ListBullet"/>
        <w:ind w:left="720"/>
      </w:pPr>
      <w:r>
        <w:rPr>
          <w:sz w:val="22"/>
        </w:rPr>
        <w:t>Client disclosure provided (if applicable).</w:t>
      </w:r>
    </w:p>
    <w:p/>
    <w:p>
      <w:pPr>
        <w:pStyle w:val="Heading1"/>
      </w:pPr>
      <w:r>
        <w:rPr>
          <w:b/>
          <w:color w:val="1E3A5F"/>
          <w:sz w:val="32"/>
        </w:rPr>
        <w:t>8. INCIDENT RESPONSE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In the event of an AI-related incident (e.g., data exposure, incorrect output, compliance issue):</w:t>
      </w:r>
    </w:p>
    <w:p>
      <w:r>
        <w:rPr>
          <w:sz w:val="22"/>
        </w:rPr>
        <w:t>1. Immediately cease using the affected AI tool for client work.</w:t>
      </w:r>
    </w:p>
    <w:p>
      <w:r>
        <w:rPr>
          <w:sz w:val="22"/>
        </w:rPr>
        <w:t>2. Notify Operations within 24 hours.</w:t>
      </w:r>
    </w:p>
    <w:p>
      <w:r>
        <w:rPr>
          <w:sz w:val="22"/>
        </w:rPr>
        <w:t>3. Document the incident, including scope and potential impact.</w:t>
      </w:r>
    </w:p>
    <w:p>
      <w:r>
        <w:rPr>
          <w:sz w:val="22"/>
        </w:rPr>
        <w:t>4. Assess whether client notification is required per MSA terms.</w:t>
      </w:r>
    </w:p>
    <w:p>
      <w:r>
        <w:rPr>
          <w:sz w:val="22"/>
        </w:rPr>
        <w:t>5. Implement corrective actions to prevent recurrence.</w:t>
      </w:r>
    </w:p>
    <w:p>
      <w:r>
        <w:rPr>
          <w:sz w:val="22"/>
        </w:rPr>
        <w:t>6. Update protocols and training as needed.</w:t>
      </w:r>
    </w:p>
    <w:p/>
    <w:p>
      <w:pPr>
        <w:pStyle w:val="Heading1"/>
      </w:pPr>
      <w:r>
        <w:rPr>
          <w:b/>
          <w:color w:val="1E3A5F"/>
          <w:sz w:val="32"/>
        </w:rPr>
        <w:t>9. TRAINING &amp; COMPLIANCE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All NoDrftSystems team members who use AI tools must:</w:t>
      </w:r>
    </w:p>
    <w:p>
      <w:pPr>
        <w:pStyle w:val="ListBullet"/>
        <w:ind w:left="720"/>
      </w:pPr>
      <w:r>
        <w:rPr>
          <w:sz w:val="22"/>
        </w:rPr>
        <w:t>Complete AI Sovereignty Protocol training before using AI on client projects.</w:t>
      </w:r>
    </w:p>
    <w:p>
      <w:pPr>
        <w:pStyle w:val="ListBullet"/>
        <w:ind w:left="720"/>
      </w:pPr>
      <w:r>
        <w:rPr>
          <w:sz w:val="22"/>
        </w:rPr>
        <w:t>Acknowledge understanding of this protocol in writing.</w:t>
      </w:r>
    </w:p>
    <w:p>
      <w:pPr>
        <w:pStyle w:val="ListBullet"/>
        <w:ind w:left="720"/>
      </w:pPr>
      <w:r>
        <w:rPr>
          <w:sz w:val="22"/>
        </w:rPr>
        <w:t>Complete refresher training annually or when protocol is updated.</w:t>
      </w:r>
    </w:p>
    <w:p>
      <w:pPr>
        <w:pStyle w:val="ListBullet"/>
        <w:ind w:left="720"/>
      </w:pPr>
      <w:r>
        <w:rPr>
          <w:sz w:val="22"/>
        </w:rPr>
        <w:t>Stay informed about changes to approved tools and prohibited uses.</w:t>
      </w:r>
    </w:p>
    <w:p/>
    <w:p>
      <w:pPr>
        <w:pStyle w:val="Heading1"/>
      </w:pPr>
      <w:r>
        <w:rPr>
          <w:b/>
          <w:color w:val="1E3A5F"/>
          <w:sz w:val="32"/>
        </w:rPr>
        <w:t>10. REVIEW &amp; UPDATES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protocol is reviewed quarterly to ensure it remains current with:</w:t>
      </w:r>
    </w:p>
    <w:p>
      <w:pPr>
        <w:pStyle w:val="ListBullet"/>
        <w:ind w:left="720"/>
      </w:pPr>
      <w:r>
        <w:rPr>
          <w:sz w:val="22"/>
        </w:rPr>
        <w:t>Evolving AI capabilities and risks.</w:t>
      </w:r>
    </w:p>
    <w:p>
      <w:pPr>
        <w:pStyle w:val="ListBullet"/>
        <w:ind w:left="720"/>
      </w:pPr>
      <w:r>
        <w:rPr>
          <w:sz w:val="22"/>
        </w:rPr>
        <w:t>Changes in legal and regulatory requirements.</w:t>
      </w:r>
    </w:p>
    <w:p>
      <w:pPr>
        <w:pStyle w:val="ListBullet"/>
        <w:ind w:left="720"/>
      </w:pPr>
      <w:r>
        <w:rPr>
          <w:sz w:val="22"/>
        </w:rPr>
        <w:t>Updates to approved AI tools and providers.</w:t>
      </w:r>
    </w:p>
    <w:p>
      <w:pPr>
        <w:pStyle w:val="ListBullet"/>
        <w:ind w:left="720"/>
      </w:pPr>
      <w:r>
        <w:rPr>
          <w:sz w:val="22"/>
        </w:rPr>
        <w:t>Lessons learned from incidents or near-misses.</w:t>
      </w:r>
    </w:p>
    <w:p>
      <w:pPr>
        <w:pStyle w:val="ListBullet"/>
        <w:ind w:left="720"/>
      </w:pPr>
      <w:r>
        <w:rPr>
          <w:sz w:val="22"/>
        </w:rPr>
        <w:t>Industry best practices and standards.</w:t>
      </w:r>
    </w:p>
    <w:p/>
    <w:p>
      <w:pPr>
        <w:pStyle w:val="Heading1"/>
      </w:pPr>
      <w:r>
        <w:rPr>
          <w:b/>
          <w:color w:val="1E3A5F"/>
          <w:sz w:val="32"/>
        </w:rPr>
        <w:t>ACKNOWLEDGMENT</w:t>
      </w:r>
    </w:p>
    <w:p>
      <w:r>
        <w:t>By working on NoDrftSystems projects, all team members acknowledge they have read, understood, and agree to comply with this AI Sovereignty Protocol.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