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NoDrftSystems Pricing Summary Sheet</w:t>
      </w:r>
    </w:p>
    <w:p>
      <w:pPr>
        <w:spacing w:after="160"/>
        <w:jc w:val="center"/>
      </w:pPr>
      <w:r>
        <w:rPr>
          <w:i/>
          <w:sz w:val="20"/>
        </w:rPr>
        <w:t>Public Baseline + Colombia and Jamaica Market Editions | April 13, 2026</w:t>
      </w:r>
    </w:p>
    <w:p>
      <w:pPr>
        <w:spacing w:after="200"/>
        <w:jc w:val="center"/>
      </w:pPr>
      <w:r>
        <w:rPr>
          <w:sz w:val="18"/>
        </w:rPr>
        <w:t>Internal summary derived from revised source documents</w:t>
      </w:r>
    </w:p>
    <w:p>
      <w:pPr>
        <w:pStyle w:val="Heading1"/>
        <w:spacing w:before="160" w:after="80"/>
      </w:pPr>
      <w:r>
        <w:t>Pricing Posture</w:t>
      </w:r>
    </w:p>
    <w:p>
      <w:pPr>
        <w:pStyle w:val="ListBullet"/>
        <w:spacing w:after="0"/>
      </w:pPr>
      <w:r>
        <w:t>Public website pricing is the general / U.S.-baseline reference.</w:t>
      </w:r>
    </w:p>
    <w:p>
      <w:pPr>
        <w:pStyle w:val="ListBullet"/>
        <w:spacing w:after="0"/>
      </w:pPr>
      <w:r>
        <w:t>Colombia and Jamaica remain market-calibrated editions below the public baseline.</w:t>
      </w:r>
    </w:p>
    <w:p>
      <w:pPr>
        <w:pStyle w:val="ListBullet"/>
        <w:spacing w:after="0"/>
      </w:pPr>
      <w:r>
        <w:t>AI-enabled delivery protects margin; it is not being used as a public discount mechanism.</w:t>
      </w:r>
    </w:p>
    <w:p>
      <w:pPr>
        <w:pStyle w:val="ListBullet"/>
        <w:spacing w:after="0"/>
      </w:pPr>
      <w:r>
        <w:t>The package ladder is now directionally correct across all comparable tiers.</w:t>
      </w:r>
    </w:p>
    <w:p/>
    <w:p>
      <w:pPr>
        <w:pStyle w:val="Heading1"/>
        <w:spacing w:before="160" w:after="80"/>
      </w:pPr>
      <w:r>
        <w:t>Fixed Package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Tier</w:t>
            </w:r>
          </w:p>
        </w:tc>
        <w:tc>
          <w:tcPr>
            <w:tcW w:type="dxa" w:w="1704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Offer</w:t>
            </w:r>
          </w:p>
        </w:tc>
        <w:tc>
          <w:tcPr>
            <w:tcW w:type="dxa" w:w="1704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Public</w:t>
            </w:r>
          </w:p>
        </w:tc>
        <w:tc>
          <w:tcPr>
            <w:tcW w:type="dxa" w:w="1704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Colombia</w:t>
            </w:r>
          </w:p>
        </w:tc>
        <w:tc>
          <w:tcPr>
            <w:tcW w:type="dxa" w:w="1704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Jamaica</w:t>
            </w:r>
          </w:p>
        </w:tc>
        <w:tc>
          <w:tcPr>
            <w:tcW w:type="dxa" w:w="1704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Summary</w:t>
            </w:r>
          </w:p>
        </w:tc>
      </w:tr>
      <w:tr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Tier 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Discovery Sprint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$2,000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$1,750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$1,850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Public baseline remains above both market editions.</w:t>
            </w:r>
          </w:p>
        </w:tc>
      </w:tr>
      <w:tr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Tier 1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Conversion Landing Page Sprint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$2,500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$2,200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$2,350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Public price was raised to clear both local editions.</w:t>
            </w:r>
          </w:p>
        </w:tc>
      </w:tr>
      <w:tr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Tier 2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Business Launch Site / Launch Site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from $3,500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$3,100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$3,300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Public baseline remains above both market editions.</w:t>
            </w:r>
          </w:p>
        </w:tc>
      </w:tr>
      <w:tr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Tier 3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Authority Website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from $8,500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$7,600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$8,000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Public price was raised to restore correct hierarchy.</w:t>
            </w:r>
          </w:p>
        </w:tc>
      </w:tr>
      <w:tr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Tier 4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Platform Starter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from $15,000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$12,900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$13,800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Public price was raised to clear both local editions.</w:t>
            </w:r>
          </w:p>
        </w:tc>
      </w:tr>
      <w:tr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Tier 5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Ecosystem Build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from $27,500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$24,900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$26,500</w:t>
            </w:r>
          </w:p>
        </w:tc>
        <w:tc>
          <w:tcPr>
            <w:tcW w:type="dxa" w:w="1704"/>
          </w:tcPr>
          <w:p>
            <w:pPr>
              <w:spacing w:after="0" w:before="0"/>
            </w:pPr>
            <w:r/>
            <w:r>
              <w:rPr>
                <w:b w:val="0"/>
              </w:rPr>
              <w:t>Public price was reset to a cleaner top-tier spread while remaining above both market editions.</w:t>
            </w:r>
          </w:p>
        </w:tc>
      </w:tr>
    </w:tbl>
    <w:p/>
    <w:p>
      <w:pPr>
        <w:pStyle w:val="Heading1"/>
        <w:spacing w:before="160" w:after="80"/>
      </w:pPr>
      <w:r>
        <w:t>Retainers</w:t>
      </w:r>
    </w:p>
    <w:p>
      <w:r>
        <w:rPr>
          <w:b/>
        </w:rPr>
        <w:t xml:space="preserve">Note: </w:t>
      </w:r>
      <w:r>
        <w:t>the public site and market editions use different naming at the low and high tiers. The equivalents below are functional equivalents, not exact label matches.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Equivalent Tier</w:t>
            </w:r>
          </w:p>
        </w:tc>
        <w:tc>
          <w:tcPr>
            <w:tcW w:type="dxa" w:w="2045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Public</w:t>
            </w:r>
          </w:p>
        </w:tc>
        <w:tc>
          <w:tcPr>
            <w:tcW w:type="dxa" w:w="2045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Colombia</w:t>
            </w:r>
          </w:p>
        </w:tc>
        <w:tc>
          <w:tcPr>
            <w:tcW w:type="dxa" w:w="2045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Jamaica</w:t>
            </w:r>
          </w:p>
        </w:tc>
        <w:tc>
          <w:tcPr>
            <w:tcW w:type="dxa" w:w="2045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Summary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Stability / Maintenance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$495 / mo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$445 / mo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$470 / mo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Public baseline remains above both market editions.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Growth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$1,500 / mo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$1,350 / mo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$1,425 / mo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Public Growth was raised to remove the inversion.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Embedded / Full Partner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$3,500 / mo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$3,100 / mo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$3,300 / mo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Public baseline remains above both market editions.</w:t>
            </w:r>
          </w:p>
        </w:tc>
      </w:tr>
    </w:tbl>
    <w:p/>
    <w:p>
      <w:pPr>
        <w:pStyle w:val="Heading1"/>
        <w:spacing w:before="160" w:after="80"/>
      </w:pPr>
      <w:r>
        <w:t>Advisory</w:t>
      </w:r>
    </w:p>
    <w:p>
      <w:r>
        <w:rPr>
          <w:b/>
        </w:rPr>
        <w:t>Public website advisory remains unchanged:</w:t>
      </w:r>
    </w:p>
    <w:p>
      <w:pPr>
        <w:pStyle w:val="ListBullet"/>
        <w:spacing w:after="0"/>
      </w:pPr>
      <w:r>
        <w:t>Strategy &amp; Scoping: $150 / hr</w:t>
      </w:r>
    </w:p>
    <w:p>
      <w:pPr>
        <w:pStyle w:val="ListBullet"/>
        <w:spacing w:after="0"/>
      </w:pPr>
      <w:r>
        <w:t>Technical Architecture Review: $175 / hr</w:t>
      </w:r>
    </w:p>
    <w:p>
      <w:pPr>
        <w:pStyle w:val="ListBullet"/>
        <w:spacing w:after="0"/>
      </w:pPr>
      <w:r>
        <w:t>AI Systems Advisory: $200 / hr</w:t>
      </w:r>
    </w:p>
    <w:p>
      <w:pPr>
        <w:pStyle w:val="ListBullet"/>
        <w:spacing w:after="0"/>
      </w:pPr>
      <w:r>
        <w:t>QA &amp; Code Review: $130 / hr</w:t>
      </w:r>
    </w:p>
    <w:p>
      <w:r>
        <w:rPr>
          <w:b/>
        </w:rPr>
        <w:t xml:space="preserve">Market editions do not use the same advisory categories as the public site. </w:t>
      </w:r>
      <w:r>
        <w:t>They should be treated as local-market references, not one-to-one equivalents.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Guide</w:t>
            </w:r>
          </w:p>
        </w:tc>
        <w:tc>
          <w:tcPr>
            <w:tcW w:type="dxa" w:w="2045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Standard Advisory</w:t>
            </w:r>
          </w:p>
        </w:tc>
        <w:tc>
          <w:tcPr>
            <w:tcW w:type="dxa" w:w="2045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Technical Audit</w:t>
            </w:r>
          </w:p>
        </w:tc>
        <w:tc>
          <w:tcPr>
            <w:tcW w:type="dxa" w:w="2045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Emergency / Rush</w:t>
            </w:r>
          </w:p>
        </w:tc>
        <w:tc>
          <w:tcPr>
            <w:tcW w:type="dxa" w:w="2045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Minimum Booking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Colombia market edition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$130 / hr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$130 / hr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$180 / hr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2 hours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Jamaica market edition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$140 / hr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$140 / hr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$195 / hr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b w:val="0"/>
              </w:rPr>
              <w:t>2 hours</w:t>
            </w:r>
          </w:p>
        </w:tc>
      </w:tr>
    </w:tbl>
    <w:p/>
    <w:p>
      <w:r>
        <w:rPr>
          <w:b/>
        </w:rPr>
        <w:t xml:space="preserve">Conclusion: </w:t>
      </w:r>
      <w:r>
        <w:t>no advisory-rate change should be inferred from the market-edition PDFs alone because the category structure is different.</w:t>
      </w:r>
    </w:p>
    <w:p>
      <w:pPr>
        <w:pStyle w:val="Heading1"/>
        <w:spacing w:before="160" w:after="80"/>
      </w:pPr>
      <w:r>
        <w:t>Operating Notes</w:t>
      </w:r>
    </w:p>
    <w:p>
      <w:pPr>
        <w:pStyle w:val="ListBullet"/>
        <w:spacing w:after="0"/>
      </w:pPr>
      <w:r>
        <w:t>Colombia edition includes Spanish-language transcreated delivery as standard on all fixed packages.</w:t>
      </w:r>
    </w:p>
    <w:p>
      <w:pPr>
        <w:pStyle w:val="ListBullet"/>
        <w:spacing w:after="0"/>
      </w:pPr>
      <w:r>
        <w:t>Jamaica edition is English-language delivery.</w:t>
      </w:r>
    </w:p>
    <w:p>
      <w:pPr>
        <w:pStyle w:val="ListBullet"/>
        <w:spacing w:after="0"/>
      </w:pPr>
      <w:r>
        <w:t>Both market editions require Discovery Sprint before Tier 4 and Tier 5 builds and credit the Discovery fee toward the build contract.</w:t>
      </w:r>
    </w:p>
    <w:p>
      <w:pPr>
        <w:pStyle w:val="ListBullet"/>
        <w:spacing w:after="0"/>
      </w:pPr>
      <w:r>
        <w:t>Both market editions remain confidential pricing guides.</w:t>
      </w:r>
    </w:p>
    <w:p>
      <w:pPr>
        <w:pStyle w:val="Heading1"/>
        <w:spacing w:before="160" w:after="80"/>
      </w:pPr>
      <w:r>
        <w:t>Source Set</w:t>
      </w:r>
    </w:p>
    <w:p>
      <w:pPr>
        <w:pStyle w:val="ListBullet"/>
        <w:spacing w:after="0"/>
      </w:pPr>
      <w:r>
        <w:t>Revised public website pricing surfaces: pages/capabilities.html, pages/home.html, pages/start.html</w:t>
      </w:r>
    </w:p>
    <w:p>
      <w:pPr>
        <w:pStyle w:val="ListBullet"/>
        <w:spacing w:after="0"/>
      </w:pPr>
      <w:r>
        <w:t>Revised pricing architecture: NoDrftSystems_Service_Pricing_Architecture_v1.docx</w:t>
      </w:r>
    </w:p>
    <w:p>
      <w:pPr>
        <w:pStyle w:val="ListBullet"/>
        <w:spacing w:after="0"/>
      </w:pPr>
      <w:r>
        <w:t>Revised alignment and finance references: NoDrftSystems_Master_Strategic_Alignment_Pack.docx, NoDrftSystems_Investor_Package.docx, NoDrftSystems_2026_Business_Plan_v2_Updated.docx, NoDrftSystems_Addendum_21_Realistic_Cost_Analysis.docx</w:t>
      </w:r>
    </w:p>
    <w:p>
      <w:pPr>
        <w:pStyle w:val="ListBullet"/>
        <w:spacing w:after="0"/>
      </w:pPr>
      <w:r>
        <w:t>Market editions: NoDrftSystems_Pricing_Colombia_2026.pdf and NoDrftSystems_Pricing_Jamaica_2026.pdf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