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5F"/>
          <w:sz w:val="40"/>
        </w:rPr>
        <w:t>ADDENDUM 4</w:t>
      </w:r>
    </w:p>
    <w:p>
      <w:pPr>
        <w:jc w:val="center"/>
      </w:pPr>
      <w:r>
        <w:rPr>
          <w:b/>
          <w:color w:val="1E3A5F"/>
          <w:sz w:val="32"/>
        </w:rPr>
        <w:t>Non-Disclosure Agreement (NDA)</w:t>
      </w:r>
    </w:p>
    <w:p/>
    <w:tbl>
      <w:tblPr>
        <w:tblStyle w:val="TableGrid"/>
        <w:tblW w:type="auto" w:w="0"/>
        <w:tblLook w:firstColumn="1" w:firstRow="1" w:lastColumn="0" w:lastRow="0" w:noHBand="0" w:noVBand="1" w:val="04A0"/>
      </w:tblPr>
      <w:tblGrid>
        <w:gridCol w:w="4320"/>
        <w:gridCol w:w="4320"/>
      </w:tblGrid>
      <w:tr>
        <w:tc>
          <w:tcPr>
            <w:tcW w:type="dxa" w:w="4320"/>
            <w:shd w:fill="E8EEF4"/>
          </w:tcPr>
          <w:p>
            <w:r>
              <w:t>Document Version:</w:t>
            </w:r>
          </w:p>
        </w:tc>
        <w:tc>
          <w:tcPr>
            <w:tcW w:type="dxa" w:w="4320"/>
            <w:shd w:fill="E8EEF4"/>
          </w:tcPr>
          <w:p>
            <w:r>
              <w:t>1.0</w:t>
            </w:r>
          </w:p>
        </w:tc>
      </w:tr>
      <w:tr>
        <w:tc>
          <w:tcPr>
            <w:tcW w:type="dxa" w:w="4320"/>
          </w:tcPr>
          <w:p>
            <w:r>
              <w:t>Effective Date:</w:t>
            </w:r>
          </w:p>
        </w:tc>
        <w:tc>
          <w:tcPr>
            <w:tcW w:type="dxa" w:w="4320"/>
          </w:tcPr>
          <w:p>
            <w:r>
              <w:t>[DATE]</w:t>
            </w:r>
          </w:p>
        </w:tc>
      </w:tr>
      <w:tr>
        <w:tc>
          <w:tcPr>
            <w:tcW w:type="dxa" w:w="4320"/>
            <w:shd w:fill="E8EEF4"/>
          </w:tcPr>
          <w:p>
            <w:r>
              <w:t>Review Cycle:</w:t>
            </w:r>
          </w:p>
        </w:tc>
        <w:tc>
          <w:tcPr>
            <w:tcW w:type="dxa" w:w="4320"/>
            <w:shd w:fill="E8EEF4"/>
          </w:tcPr>
          <w:p>
            <w:r>
              <w:t>Annual</w:t>
            </w:r>
          </w:p>
        </w:tc>
      </w:tr>
      <w:tr>
        <w:tc>
          <w:tcPr>
            <w:tcW w:type="dxa" w:w="4320"/>
          </w:tcPr>
          <w:p>
            <w:r>
              <w:t>Owner:</w:t>
            </w:r>
          </w:p>
        </w:tc>
        <w:tc>
          <w:tcPr>
            <w:tcW w:type="dxa" w:w="4320"/>
          </w:tcPr>
          <w:p>
            <w:r>
              <w:t>NoDrftSystems Legal</w:t>
            </w:r>
          </w:p>
        </w:tc>
      </w:tr>
    </w:tbl>
    <w:p/>
    <w:p>
      <w:pPr>
        <w:pStyle w:val="Heading1"/>
      </w:pPr>
      <w:r>
        <w:rPr>
          <w:b/>
          <w:color w:val="1E3A5F"/>
          <w:sz w:val="32"/>
        </w:rPr>
        <w:t>MUTUAL NON-DISCLOSURE AGREEMENT</w:t>
      </w:r>
    </w:p>
    <w:p>
      <w:r>
        <w:rPr>
          <w:sz w:val="22"/>
        </w:rPr>
        <w:t xml:space="preserve">This Mutual Non-Disclosure Agreement (the "Agreement") is entered into as of </w:t>
      </w:r>
      <w:r>
        <w:rPr>
          <w:b/>
          <w:i/>
          <w:sz w:val="22"/>
        </w:rPr>
        <w:t>[DATE]</w:t>
      </w:r>
      <w:r>
        <w:rPr>
          <w:sz w:val="22"/>
        </w:rPr>
        <w:t xml:space="preserve"> (the "Effective Date"), by and between:</w:t>
      </w:r>
    </w:p>
    <w:p/>
    <w:tbl>
      <w:tblPr>
        <w:tblStyle w:val="TableGrid"/>
        <w:tblW w:type="auto" w:w="0"/>
        <w:tblLook w:firstColumn="1" w:firstRow="1" w:lastColumn="0" w:lastRow="0" w:noHBand="0" w:noVBand="1" w:val="04A0"/>
      </w:tblPr>
      <w:tblGrid>
        <w:gridCol w:w="4320"/>
        <w:gridCol w:w="4320"/>
      </w:tblGrid>
      <w:tr>
        <w:tc>
          <w:tcPr>
            <w:tcW w:type="dxa" w:w="4320"/>
            <w:shd w:fill="E8EEF4"/>
          </w:tcPr>
          <w:p>
            <w:r>
              <w:t>DISCLOSING PARTY:</w:t>
            </w:r>
          </w:p>
        </w:tc>
        <w:tc>
          <w:tcPr>
            <w:tcW w:type="dxa" w:w="4320"/>
          </w:tcPr>
          <w:p>
            <w:r>
              <w:t>[Company Name]</w:t>
              <w:br/>
              <w:t>[Address]</w:t>
              <w:br/>
              <w:t>[Contact Person/Title]</w:t>
              <w:br/>
              <w:t>[Email]</w:t>
            </w:r>
          </w:p>
        </w:tc>
      </w:tr>
      <w:tr>
        <w:tc>
          <w:tcPr>
            <w:tcW w:type="dxa" w:w="4320"/>
            <w:shd w:fill="E8EEF4"/>
          </w:tcPr>
          <w:p>
            <w:r>
              <w:t>RECEIVING PARTY:</w:t>
            </w:r>
          </w:p>
        </w:tc>
        <w:tc>
          <w:tcPr>
            <w:tcW w:type="dxa" w:w="4320"/>
          </w:tcPr>
          <w:p>
            <w:r>
              <w:t>NoDrftSystems, LLC</w:t>
              <w:br/>
              <w:t>[Address]</w:t>
              <w:br/>
              <w:t>[Contact Person/Title]</w:t>
              <w:br/>
              <w:t>[Email]</w:t>
            </w:r>
          </w:p>
        </w:tc>
      </w:tr>
    </w:tbl>
    <w:p/>
    <w:p>
      <w:pPr>
        <w:spacing w:after="120"/>
      </w:pPr>
      <w:r>
        <w:rPr>
          <w:b w:val="0"/>
          <w:i/>
          <w:color w:val="2C3E50"/>
          <w:sz w:val="22"/>
        </w:rPr>
        <w:t>The Disclosing Party and Receiving Party may be referred to individually as a "Party" and collectively as the "Parties."</w:t>
      </w:r>
    </w:p>
    <w:p/>
    <w:p>
      <w:pPr>
        <w:pStyle w:val="Heading1"/>
      </w:pPr>
      <w:r>
        <w:rPr>
          <w:b/>
          <w:color w:val="1E3A5F"/>
          <w:sz w:val="32"/>
        </w:rPr>
        <w:t>RECITALS</w:t>
      </w:r>
    </w:p>
    <w:p>
      <w:pPr>
        <w:spacing w:after="120"/>
      </w:pPr>
      <w:r>
        <w:rPr>
          <w:b w:val="0"/>
          <w:i w:val="0"/>
          <w:color w:val="2C3E50"/>
          <w:sz w:val="22"/>
        </w:rPr>
        <w:t>WHEREAS, the Parties wish to explore a potential business relationship (the "Purpose") which may require the disclosure of confidential and proprietary information;</w:t>
      </w:r>
    </w:p>
    <w:p>
      <w:pPr>
        <w:spacing w:after="120"/>
      </w:pPr>
      <w:r>
        <w:rPr>
          <w:b w:val="0"/>
          <w:i w:val="0"/>
          <w:color w:val="2C3E50"/>
          <w:sz w:val="22"/>
        </w:rPr>
        <w:t>WHEREAS, each Party may disclose certain Confidential Information (as defined below) to the other Party;</w:t>
      </w:r>
    </w:p>
    <w:p>
      <w:pPr>
        <w:spacing w:after="120"/>
      </w:pPr>
      <w:r>
        <w:rPr>
          <w:b w:val="0"/>
          <w:i w:val="0"/>
          <w:color w:val="2C3E50"/>
          <w:sz w:val="22"/>
        </w:rPr>
        <w:t>NOW, THEREFORE, in consideration of the mutual covenants and agreements contained herein, the Parties agree as follows:</w:t>
      </w:r>
    </w:p>
    <w:p/>
    <w:p>
      <w:pPr>
        <w:pStyle w:val="Heading2"/>
      </w:pPr>
      <w:r>
        <w:rPr>
          <w:b/>
          <w:color w:val="1E3A5F"/>
          <w:sz w:val="26"/>
        </w:rPr>
        <w:t>1. DEFINITION OF CONFIDENTIAL INFORMATION</w:t>
      </w:r>
    </w:p>
    <w:p>
      <w:pPr>
        <w:spacing w:after="120"/>
      </w:pPr>
      <w:r>
        <w:rPr>
          <w:b w:val="0"/>
          <w:i w:val="0"/>
          <w:color w:val="2C3E50"/>
          <w:sz w:val="22"/>
        </w:rPr>
        <w:t>"Confidential Information" means any and all non-public, proprietary, confidential, or trade secret information disclosed by either Party (the "Disclosing Party") to the other Party (the "Receiving Party"), whether orally, in writing, electronically, or by any other means, including but not limited to:</w:t>
      </w:r>
    </w:p>
    <w:p>
      <w:pPr>
        <w:pStyle w:val="ListBullet"/>
        <w:ind w:left="720"/>
      </w:pPr>
      <w:r>
        <w:rPr>
          <w:sz w:val="22"/>
        </w:rPr>
        <w:t>Technical information: designs, drawings, specifications, software code, algorithms, processes, formulas, inventions, and technical data;</w:t>
      </w:r>
    </w:p>
    <w:p>
      <w:pPr>
        <w:pStyle w:val="ListBullet"/>
        <w:ind w:left="720"/>
      </w:pPr>
      <w:r>
        <w:rPr>
          <w:sz w:val="22"/>
        </w:rPr>
        <w:t>Business information: business plans, strategies, financial information, pricing, customer lists, supplier information, and marketing plans;</w:t>
      </w:r>
    </w:p>
    <w:p>
      <w:pPr>
        <w:pStyle w:val="ListBullet"/>
        <w:ind w:left="720"/>
      </w:pPr>
      <w:r>
        <w:rPr>
          <w:sz w:val="22"/>
        </w:rPr>
        <w:t>Operational information: workflows, methodologies, systems, procedures, and internal processes;</w:t>
      </w:r>
    </w:p>
    <w:p>
      <w:pPr>
        <w:pStyle w:val="ListBullet"/>
        <w:ind w:left="720"/>
      </w:pPr>
      <w:r>
        <w:rPr>
          <w:sz w:val="22"/>
        </w:rPr>
        <w:t>Personnel information: employee data, compensation structures, and organizational charts;</w:t>
      </w:r>
    </w:p>
    <w:p>
      <w:pPr>
        <w:pStyle w:val="ListBullet"/>
        <w:ind w:left="720"/>
      </w:pPr>
      <w:r>
        <w:rPr>
          <w:sz w:val="22"/>
        </w:rPr>
        <w:t>Any information marked or identified as "Confidential," "Proprietary," or with similar designation at the time of disclosure;</w:t>
      </w:r>
    </w:p>
    <w:p>
      <w:pPr>
        <w:pStyle w:val="ListBullet"/>
        <w:ind w:left="720"/>
      </w:pPr>
      <w:r>
        <w:rPr>
          <w:sz w:val="22"/>
        </w:rPr>
        <w:t>Any information that the Receiving Party knew or should have known was confidential given the nature of the information and circumstances of disclosure.</w:t>
      </w:r>
    </w:p>
    <w:p/>
    <w:p>
      <w:pPr>
        <w:pStyle w:val="Heading2"/>
      </w:pPr>
      <w:r>
        <w:rPr>
          <w:b/>
          <w:color w:val="1E3A5F"/>
          <w:sz w:val="26"/>
        </w:rPr>
        <w:t>2. EXCLUSIONS FROM CONFIDENTIAL INFORMATION</w:t>
      </w:r>
    </w:p>
    <w:p>
      <w:pPr>
        <w:spacing w:after="120"/>
      </w:pPr>
      <w:r>
        <w:rPr>
          <w:b w:val="0"/>
          <w:i w:val="0"/>
          <w:color w:val="2C3E50"/>
          <w:sz w:val="22"/>
        </w:rPr>
        <w:t>Confidential Information does not include information that:</w:t>
      </w:r>
    </w:p>
    <w:p>
      <w:pPr>
        <w:pStyle w:val="ListBullet"/>
        <w:ind w:left="720"/>
      </w:pPr>
      <w:r>
        <w:rPr>
          <w:sz w:val="22"/>
        </w:rPr>
        <w:t>Is or becomes publicly available through no breach of this Agreement by the Receiving Party;</w:t>
      </w:r>
    </w:p>
    <w:p>
      <w:pPr>
        <w:pStyle w:val="ListBullet"/>
        <w:ind w:left="720"/>
      </w:pPr>
      <w:r>
        <w:rPr>
          <w:sz w:val="22"/>
        </w:rPr>
        <w:t>Was rightfully in the Receiving Party's possession prior to disclosure by the Disclosing Party, as evidenced by written records;</w:t>
      </w:r>
    </w:p>
    <w:p>
      <w:pPr>
        <w:pStyle w:val="ListBullet"/>
        <w:ind w:left="720"/>
      </w:pPr>
      <w:r>
        <w:rPr>
          <w:sz w:val="22"/>
        </w:rPr>
        <w:t>Is rightfully obtained by the Receiving Party from a third party without restriction on disclosure;</w:t>
      </w:r>
    </w:p>
    <w:p>
      <w:pPr>
        <w:pStyle w:val="ListBullet"/>
        <w:ind w:left="720"/>
      </w:pPr>
      <w:r>
        <w:rPr>
          <w:sz w:val="22"/>
        </w:rPr>
        <w:t>Is independently developed by the Receiving Party without use of or reference to the Disclosing Party's Confidential Information, as evidenced by written records;</w:t>
      </w:r>
    </w:p>
    <w:p>
      <w:pPr>
        <w:pStyle w:val="ListBullet"/>
        <w:ind w:left="720"/>
      </w:pPr>
      <w:r>
        <w:rPr>
          <w:sz w:val="22"/>
        </w:rPr>
        <w:t>Is required to be disclosed by law, regulation, or court order, provided the Receiving Party gives prompt written notice to the Disclosing Party (where legally permitted) to allow the Disclosing Party to seek protective relief.</w:t>
      </w:r>
    </w:p>
    <w:p/>
    <w:p>
      <w:pPr>
        <w:pStyle w:val="Heading2"/>
      </w:pPr>
      <w:r>
        <w:rPr>
          <w:b/>
          <w:color w:val="1E3A5F"/>
          <w:sz w:val="26"/>
        </w:rPr>
        <w:t>3. OBLIGATIONS OF RECEIVING PARTY</w:t>
      </w:r>
    </w:p>
    <w:p>
      <w:pPr>
        <w:spacing w:after="120"/>
      </w:pPr>
      <w:r>
        <w:rPr>
          <w:b w:val="0"/>
          <w:i w:val="0"/>
          <w:color w:val="2C3E50"/>
          <w:sz w:val="22"/>
        </w:rPr>
        <w:t>1. Maintain Strict Confidentiality: The Receiving Party agrees to hold all Confidential Information in strict confidence and not disclose it to any third parties except as permitted herein.</w:t>
      </w:r>
    </w:p>
    <w:p>
      <w:pPr>
        <w:spacing w:after="120"/>
      </w:pPr>
      <w:r>
        <w:rPr>
          <w:b w:val="0"/>
          <w:i w:val="0"/>
          <w:color w:val="2C3E50"/>
          <w:sz w:val="22"/>
        </w:rPr>
        <w:t>2. Limited Use: The Receiving Party shall use the Confidential Information solely for the Purpose and for no other purpose without prior written consent of the Disclosing Party.</w:t>
      </w:r>
    </w:p>
    <w:p>
      <w:pPr>
        <w:spacing w:after="120"/>
      </w:pPr>
      <w:r>
        <w:rPr>
          <w:b w:val="0"/>
          <w:i w:val="0"/>
          <w:color w:val="2C3E50"/>
          <w:sz w:val="22"/>
        </w:rPr>
        <w:t>3. Need-to-Know Basis: The Receiving Party may disclose Confidential Information only to its employees, contractors, advisors, and agents who have a legitimate need to know for the Purpose and who are bound by confidentiality obligations no less restrictive than those herein.</w:t>
      </w:r>
    </w:p>
    <w:p>
      <w:pPr>
        <w:spacing w:after="120"/>
      </w:pPr>
      <w:r>
        <w:rPr>
          <w:b w:val="0"/>
          <w:i w:val="0"/>
          <w:color w:val="2C3E50"/>
          <w:sz w:val="22"/>
        </w:rPr>
        <w:t>4. Reasonable Care: The Receiving Party shall exercise at least the same degree of care to protect the Confidential Information as it uses to protect its own confidential information of like importance, but in no event less than reasonable care.</w:t>
      </w:r>
    </w:p>
    <w:p>
      <w:pPr>
        <w:spacing w:after="120"/>
      </w:pPr>
      <w:r>
        <w:rPr>
          <w:b w:val="0"/>
          <w:i w:val="0"/>
          <w:color w:val="2C3E50"/>
          <w:sz w:val="22"/>
        </w:rPr>
        <w:t>5. No Reverse Engineering: The Receiving Party shall not reverse engineer, decompile, or disassemble any Confidential Information without prior written consent.</w:t>
      </w:r>
    </w:p>
    <w:p>
      <w:pPr>
        <w:spacing w:after="120"/>
      </w:pPr>
      <w:r>
        <w:rPr>
          <w:b w:val="0"/>
          <w:i w:val="0"/>
          <w:color w:val="2C3E50"/>
          <w:sz w:val="22"/>
        </w:rPr>
        <w:t>6. No Rights Granted: Nothing in this Agreement grants the Receiving Party any license, interest, or right in or to the Disclosing Party's Confidential Information, patents, copyrights, trademarks, or other intellectual property.</w:t>
      </w:r>
    </w:p>
    <w:p/>
    <w:p>
      <w:pPr>
        <w:pStyle w:val="Heading2"/>
      </w:pPr>
      <w:r>
        <w:rPr>
          <w:b/>
          <w:color w:val="1E3A5F"/>
          <w:sz w:val="26"/>
        </w:rPr>
        <w:t>4. RETURN OF CONFIDENTIAL INFORMATION</w:t>
      </w:r>
    </w:p>
    <w:p>
      <w:pPr>
        <w:spacing w:after="120"/>
      </w:pPr>
      <w:r>
        <w:rPr>
          <w:b w:val="0"/>
          <w:i w:val="0"/>
          <w:color w:val="2C3E50"/>
          <w:sz w:val="22"/>
        </w:rPr>
        <w:t>Upon the Disclosing Party's written request or upon termination of discussions between the Parties, the Receiving Party shall promptly:</w:t>
      </w:r>
    </w:p>
    <w:p>
      <w:pPr>
        <w:pStyle w:val="ListBullet"/>
        <w:ind w:left="720"/>
      </w:pPr>
      <w:r>
        <w:rPr>
          <w:sz w:val="22"/>
        </w:rPr>
        <w:t>Return all tangible materials containing Confidential Information (documents, files, media);</w:t>
      </w:r>
    </w:p>
    <w:p>
      <w:pPr>
        <w:pStyle w:val="ListBullet"/>
        <w:ind w:left="720"/>
      </w:pPr>
      <w:r>
        <w:rPr>
          <w:sz w:val="22"/>
        </w:rPr>
        <w:t>Destroy all electronic copies of Confidential Information and certify such destruction in writing;</w:t>
      </w:r>
    </w:p>
    <w:p>
      <w:pPr>
        <w:pStyle w:val="ListBullet"/>
        <w:ind w:left="720"/>
      </w:pPr>
      <w:r>
        <w:rPr>
          <w:sz w:val="22"/>
        </w:rPr>
        <w:t>Delete all Confidential Information from any systems, databases, or backups under the Receiving Party's control.</w:t>
      </w:r>
    </w:p>
    <w:p>
      <w:pPr>
        <w:spacing w:after="120"/>
      </w:pPr>
      <w:r>
        <w:rPr>
          <w:b w:val="0"/>
          <w:i w:val="0"/>
          <w:color w:val="2C3E50"/>
          <w:sz w:val="22"/>
        </w:rPr>
        <w:t>Notwithstanding the foregoing, the Receiving Party may retain copies of Confidential Information: (a) as required by law or professional standards; (b) in secure backup systems in accordance with standard backup procedures, provided such copies remain subject to this Agreement; or (c) as necessary to enforce its rights under this Agreement.</w:t>
      </w:r>
    </w:p>
    <w:p/>
    <w:p>
      <w:pPr>
        <w:pStyle w:val="Heading2"/>
      </w:pPr>
      <w:r>
        <w:rPr>
          <w:b/>
          <w:color w:val="1E3A5F"/>
          <w:sz w:val="26"/>
        </w:rPr>
        <w:t>5. TERM AND DURATION</w:t>
      </w:r>
    </w:p>
    <w:p>
      <w:pPr>
        <w:spacing w:after="120"/>
      </w:pPr>
      <w:r>
        <w:rPr>
          <w:b w:val="0"/>
          <w:i w:val="0"/>
          <w:color w:val="2C3E50"/>
          <w:sz w:val="22"/>
        </w:rPr>
        <w:t>This Agreement shall commence on the Effective Date and shall remain in effect for a period of three (3) years, unless earlier terminated by either Party with thirty (30) days' written notice.</w:t>
      </w:r>
    </w:p>
    <w:p>
      <w:pPr>
        <w:spacing w:after="120"/>
      </w:pPr>
      <w:r>
        <w:rPr>
          <w:b w:val="0"/>
          <w:i w:val="0"/>
          <w:color w:val="2C3E50"/>
          <w:sz w:val="22"/>
        </w:rPr>
        <w:t>The obligations of confidentiality under this Agreement shall survive termination and remain in effect for a period of five (5) years from the date of disclosure of each item of Confidential Information, except that with respect to Confidential Information constituting trade secrets, the obligations shall continue for so long as such information remains a trade secret under applicable law.</w:t>
      </w:r>
    </w:p>
    <w:p/>
    <w:p>
      <w:pPr>
        <w:pStyle w:val="Heading2"/>
      </w:pPr>
      <w:r>
        <w:rPr>
          <w:b/>
          <w:color w:val="1E3A5F"/>
          <w:sz w:val="26"/>
        </w:rPr>
        <w:t>6. REMEDIES</w:t>
      </w:r>
    </w:p>
    <w:p>
      <w:pPr>
        <w:spacing w:after="120"/>
      </w:pPr>
      <w:r>
        <w:rPr>
          <w:b w:val="0"/>
          <w:i w:val="0"/>
          <w:color w:val="2C3E50"/>
          <w:sz w:val="22"/>
        </w:rPr>
        <w:t>The Parties acknowledge that any breach of this Agreement may cause irreparable harm for which monetary damages would be inadequate. Accordingly, the Disclosing Party shall be entitled to seek equitable relief, including injunction and specific performance, in addition to all other remedies available at law or in equity.</w:t>
      </w:r>
    </w:p>
    <w:p/>
    <w:p>
      <w:pPr>
        <w:pStyle w:val="Heading2"/>
      </w:pPr>
      <w:r>
        <w:rPr>
          <w:b/>
          <w:color w:val="1E3A5F"/>
          <w:sz w:val="26"/>
        </w:rPr>
        <w:t>7. GENERAL PROVISIONS</w:t>
      </w:r>
    </w:p>
    <w:p>
      <w:pPr>
        <w:spacing w:after="120"/>
      </w:pPr>
      <w:r>
        <w:rPr>
          <w:b w:val="0"/>
          <w:i w:val="0"/>
          <w:color w:val="2C3E50"/>
          <w:sz w:val="22"/>
        </w:rPr>
        <w:t>Governing Law: This Agreement shall be governed by and construed in accordance with the laws of the State of Delaware, without regard to conflict of laws principles.</w:t>
      </w:r>
    </w:p>
    <w:p>
      <w:pPr>
        <w:spacing w:after="120"/>
      </w:pPr>
      <w:r>
        <w:rPr>
          <w:b w:val="0"/>
          <w:i w:val="0"/>
          <w:color w:val="2C3E50"/>
          <w:sz w:val="22"/>
        </w:rPr>
        <w:t>Dispute Resolution: Any dispute arising from this Agreement shall first be attempted to be resolved through good faith negotiation. If unresolved within thirty (30) days, disputes shall be submitted to binding arbitration in accordance with the Commercial Arbitration Rules of the American Arbitration Association.</w:t>
      </w:r>
    </w:p>
    <w:p>
      <w:pPr>
        <w:spacing w:after="120"/>
      </w:pPr>
      <w:r>
        <w:rPr>
          <w:b w:val="0"/>
          <w:i w:val="0"/>
          <w:color w:val="2C3E50"/>
          <w:sz w:val="22"/>
        </w:rPr>
        <w:t>Entire Agreement: This Agreement constitutes the entire agreement between the Parties concerning the subject matter hereof and supersedes all prior agreements, understandings, and negotiations.</w:t>
      </w:r>
    </w:p>
    <w:p>
      <w:pPr>
        <w:spacing w:after="120"/>
      </w:pPr>
      <w:r>
        <w:rPr>
          <w:b w:val="0"/>
          <w:i w:val="0"/>
          <w:color w:val="2C3E50"/>
          <w:sz w:val="22"/>
        </w:rPr>
        <w:t>Amendment: This Agreement may not be amended or modified except by a written instrument signed by both Parties.</w:t>
      </w:r>
    </w:p>
    <w:p>
      <w:pPr>
        <w:spacing w:after="120"/>
      </w:pPr>
      <w:r>
        <w:rPr>
          <w:b w:val="0"/>
          <w:i w:val="0"/>
          <w:color w:val="2C3E50"/>
          <w:sz w:val="22"/>
        </w:rPr>
        <w:t>Waiver: No waiver of any provision shall be effective unless in writing. Failure to enforce any provision shall not constitute a waiver.</w:t>
      </w:r>
    </w:p>
    <w:p>
      <w:pPr>
        <w:spacing w:after="120"/>
      </w:pPr>
      <w:r>
        <w:rPr>
          <w:b w:val="0"/>
          <w:i w:val="0"/>
          <w:color w:val="2C3E50"/>
          <w:sz w:val="22"/>
        </w:rPr>
        <w:t>Severability: If any provision is held invalid or unenforceable, the remaining provisions shall continue in full force and effect.</w:t>
      </w:r>
    </w:p>
    <w:p>
      <w:pPr>
        <w:spacing w:after="120"/>
      </w:pPr>
      <w:r>
        <w:rPr>
          <w:b w:val="0"/>
          <w:i w:val="0"/>
          <w:color w:val="2C3E50"/>
          <w:sz w:val="22"/>
        </w:rPr>
        <w:t>Assignment: Neither Party may assign this Agreement without prior written consent, except to an affiliate or successor in connection with a merger or acquisition.</w:t>
      </w:r>
    </w:p>
    <w:p>
      <w:pPr>
        <w:spacing w:after="120"/>
      </w:pPr>
      <w:r>
        <w:rPr>
          <w:b w:val="0"/>
          <w:i w:val="0"/>
          <w:color w:val="2C3E50"/>
          <w:sz w:val="22"/>
        </w:rPr>
        <w:t>Counterparts: This Agreement may be executed in counterparts, each of which shall be deemed an original. Electronic signatures shall have the same force and effect as original signatures.</w:t>
      </w:r>
    </w:p>
    <w:p>
      <w:pPr>
        <w:spacing w:after="120"/>
      </w:pPr>
      <w:r>
        <w:rPr>
          <w:b w:val="0"/>
          <w:i w:val="0"/>
          <w:color w:val="2C3E50"/>
          <w:sz w:val="22"/>
        </w:rPr>
        <w:t>Notice: All notices shall be in writing and delivered to the addresses set forth above or such other address as a Party may designate.</w:t>
      </w:r>
    </w:p>
    <w:p/>
    <w:p>
      <w:pPr>
        <w:pStyle w:val="Heading1"/>
      </w:pPr>
      <w:r>
        <w:rPr>
          <w:b/>
          <w:color w:val="1E3A5F"/>
          <w:sz w:val="32"/>
        </w:rPr>
        <w:t>SIGNATURES</w:t>
      </w:r>
    </w:p>
    <w:p>
      <w:pPr>
        <w:spacing w:after="120"/>
      </w:pPr>
      <w:r>
        <w:rPr>
          <w:b w:val="0"/>
          <w:i w:val="0"/>
          <w:color w:val="2C3E50"/>
          <w:sz w:val="22"/>
        </w:rPr>
        <w:t>IN WITNESS WHEREOF, the Parties have executed this Agreement as of the Effective Date.</w:t>
      </w:r>
    </w:p>
    <w:p/>
    <w:tbl>
      <w:tblPr>
        <w:tblStyle w:val="TableGrid"/>
        <w:tblW w:type="auto" w:w="0"/>
        <w:tblLook w:firstColumn="1" w:firstRow="1" w:lastColumn="0" w:lastRow="0" w:noHBand="0" w:noVBand="1" w:val="04A0"/>
      </w:tblPr>
      <w:tblGrid>
        <w:gridCol w:w="4320"/>
        <w:gridCol w:w="4320"/>
      </w:tblGrid>
      <w:tr>
        <w:tc>
          <w:tcPr>
            <w:tcW w:type="dxa" w:w="4320"/>
          </w:tcPr>
          <w:p>
            <w:r>
              <w:t>DISCLOSING PARTY:</w:t>
            </w:r>
          </w:p>
        </w:tc>
        <w:tc>
          <w:tcPr>
            <w:tcW w:type="dxa" w:w="4320"/>
          </w:tcPr>
          <w:p>
            <w:r>
              <w:t>RECEIVING PARTY:</w:t>
            </w:r>
          </w:p>
        </w:tc>
      </w:tr>
      <w:tr>
        <w:tc>
          <w:tcPr>
            <w:tcW w:type="dxa" w:w="4320"/>
          </w:tcPr>
          <w:p>
            <w:r>
              <w:t>Company Name: _____________________</w:t>
            </w:r>
          </w:p>
        </w:tc>
        <w:tc>
          <w:tcPr>
            <w:tcW w:type="dxa" w:w="4320"/>
          </w:tcPr>
          <w:p>
            <w:r>
              <w:t>Company Name: NoDrftSystems, LLC</w:t>
            </w:r>
          </w:p>
        </w:tc>
      </w:tr>
      <w:tr>
        <w:tc>
          <w:tcPr>
            <w:tcW w:type="dxa" w:w="4320"/>
          </w:tcPr>
          <w:p>
            <w:r>
              <w:t>Signature: _________________________</w:t>
            </w:r>
          </w:p>
        </w:tc>
        <w:tc>
          <w:tcPr>
            <w:tcW w:type="dxa" w:w="4320"/>
          </w:tcPr>
          <w:p>
            <w:r>
              <w:t>Signature: _________________________</w:t>
            </w:r>
          </w:p>
        </w:tc>
      </w:tr>
      <w:tr>
        <w:tc>
          <w:tcPr>
            <w:tcW w:type="dxa" w:w="4320"/>
          </w:tcPr>
          <w:p>
            <w:r>
              <w:t>Name: _____________________________</w:t>
            </w:r>
          </w:p>
        </w:tc>
        <w:tc>
          <w:tcPr>
            <w:tcW w:type="dxa" w:w="4320"/>
          </w:tcPr>
          <w:p>
            <w:r>
              <w:t>Name: _____________________________</w:t>
            </w:r>
          </w:p>
        </w:tc>
      </w:tr>
      <w:tr>
        <w:tc>
          <w:tcPr>
            <w:tcW w:type="dxa" w:w="4320"/>
          </w:tcPr>
          <w:p>
            <w:r>
              <w:t>Title: ____________________________</w:t>
            </w:r>
          </w:p>
        </w:tc>
        <w:tc>
          <w:tcPr>
            <w:tcW w:type="dxa" w:w="4320"/>
          </w:tcPr>
          <w:p>
            <w:r>
              <w:t>Title: ____________________________</w:t>
            </w:r>
          </w:p>
        </w:tc>
      </w:tr>
      <w:tr>
        <w:tc>
          <w:tcPr>
            <w:tcW w:type="dxa" w:w="4320"/>
          </w:tcPr>
          <w:p>
            <w:r>
              <w:t>Date: _____________________________</w:t>
            </w:r>
          </w:p>
        </w:tc>
        <w:tc>
          <w:tcPr>
            <w:tcW w:type="dxa" w:w="4320"/>
          </w:tcPr>
          <w:p>
            <w:r>
              <w:t>Date: _____________________________</w:t>
            </w:r>
          </w:p>
        </w:tc>
      </w:tr>
    </w:tbl>
    <w:p/>
    <w:p/>
    <w:p>
      <w:pPr>
        <w:jc w:val="center"/>
      </w:pPr>
      <w:r>
        <w:rPr>
          <w:i/>
          <w:color w:val="7F8C8D"/>
          <w:sz w:val="18"/>
        </w:rPr>
        <w:t>LEGAL DISCLAIMER: This is a template document. Have it reviewed by qualified legal counsel before use. NoDrftSystems assumes no liability for use of this template.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