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A3F"/>
        </w:rPr>
        <w:t>NoDrftSystems</w:t>
      </w:r>
    </w:p>
    <w:p>
      <w:pPr>
        <w:pStyle w:val="Heading1"/>
        <w:jc w:val="center"/>
      </w:pPr>
      <w:r>
        <w:rPr>
          <w:color w:val="2A3D52"/>
        </w:rPr>
        <w:t>Legal &amp; Contract Framework</w:t>
      </w:r>
    </w:p>
    <w:p>
      <w:pPr>
        <w:jc w:val="center"/>
      </w:pPr>
      <w:r>
        <w:rPr>
          <w:color w:val="808080"/>
        </w:rPr>
        <w:t>Contract Structure | IP Terms | Data Handling | Liability Framework</w:t>
      </w:r>
    </w:p>
    <w:p>
      <w:pPr>
        <w:jc w:val="center"/>
      </w:pPr>
      <w:r>
        <w:rPr>
          <w:color w:val="808080"/>
          <w:sz w:val="20"/>
        </w:rPr>
        <w:t>Version 2.0 | April 2026</w:t>
      </w:r>
    </w:p>
    <w:p>
      <w:r>
        <w:br w:type="page"/>
      </w:r>
    </w:p>
    <w:p>
      <w:pPr>
        <w:pStyle w:val="Heading1"/>
      </w:pPr>
      <w:r>
        <w:t>IMPORTANT DISCLAIMER</w:t>
      </w:r>
    </w:p>
    <w:p>
      <w:r>
        <w:rPr>
          <w:b/>
          <w:color w:val="B40000"/>
        </w:rPr>
        <w:t xml:space="preserve">LEGAL NOTICE: </w:t>
      </w:r>
      <w:r>
        <w:rPr>
          <w:color w:val="B40000"/>
        </w:rPr>
        <w:t>This document provides a framework and template structure for NoDrftSystems legal agreements. All contracts must be reviewed and approved by licensed legal counsel before execution. This document does not constitute legal advice. Engage qualified legal counsel for all contract drafting, review, and negotiation activities.</w:t>
      </w:r>
    </w:p>
    <w:p>
      <w:r>
        <w:br w:type="page"/>
      </w:r>
    </w:p>
    <w:p>
      <w:pPr>
        <w:pStyle w:val="Heading1"/>
      </w:pPr>
      <w:r>
        <w:t>Table of Contents</w:t>
      </w:r>
    </w:p>
    <w:p>
      <w:pPr>
        <w:pStyle w:val="ListNumber"/>
        <w:ind w:left="360"/>
      </w:pPr>
      <w:r>
        <w:t>1. Contract Architecture Overview</w:t>
      </w:r>
    </w:p>
    <w:p>
      <w:pPr>
        <w:pStyle w:val="ListNumber"/>
        <w:ind w:left="360"/>
      </w:pPr>
      <w:r>
        <w:t>2. Master Services Agreement (MSA)</w:t>
      </w:r>
    </w:p>
    <w:p>
      <w:pPr>
        <w:pStyle w:val="ListNumber"/>
        <w:ind w:left="360"/>
      </w:pPr>
      <w:r>
        <w:t>3. Statement of Work (SOW)</w:t>
      </w:r>
    </w:p>
    <w:p>
      <w:pPr>
        <w:pStyle w:val="ListNumber"/>
        <w:ind w:left="360"/>
      </w:pPr>
      <w:r>
        <w:t>4. Non-Disclosure Agreement (NDA)</w:t>
      </w:r>
    </w:p>
    <w:p>
      <w:pPr>
        <w:pStyle w:val="ListNumber"/>
        <w:ind w:left="360"/>
      </w:pPr>
      <w:r>
        <w:t>5. Intellectual Property Framework</w:t>
      </w:r>
    </w:p>
    <w:p>
      <w:pPr>
        <w:pStyle w:val="ListNumber"/>
        <w:ind w:left="360"/>
      </w:pPr>
      <w:r>
        <w:t>6. Data Handling &amp; Privacy</w:t>
      </w:r>
    </w:p>
    <w:p>
      <w:pPr>
        <w:pStyle w:val="ListNumber"/>
        <w:ind w:left="360"/>
      </w:pPr>
      <w:r>
        <w:t>7. Payment Terms &amp; Collections</w:t>
      </w:r>
    </w:p>
    <w:p>
      <w:pPr>
        <w:pStyle w:val="ListNumber"/>
        <w:ind w:left="360"/>
      </w:pPr>
      <w:r>
        <w:t>8. Liability &amp; Indemnification</w:t>
      </w:r>
    </w:p>
    <w:p>
      <w:pPr>
        <w:pStyle w:val="ListNumber"/>
        <w:ind w:left="360"/>
      </w:pPr>
      <w:r>
        <w:t>9. AI Disclosure Requirements</w:t>
      </w:r>
    </w:p>
    <w:p>
      <w:pPr>
        <w:pStyle w:val="ListNumber"/>
        <w:ind w:left="360"/>
      </w:pPr>
      <w:r>
        <w:t>10. Appendices</w:t>
      </w:r>
    </w:p>
    <w:p>
      <w:r>
        <w:br w:type="page"/>
      </w:r>
    </w:p>
    <w:p>
      <w:pPr>
        <w:pStyle w:val="Heading1"/>
      </w:pPr>
      <w:r>
        <w:t>1. Contract Architecture Overview</w:t>
      </w:r>
    </w:p>
    <w:p>
      <w:pPr>
        <w:pStyle w:val="Heading2"/>
      </w:pPr>
      <w:r>
        <w:t>1.1 Contract Hierarchy</w:t>
      </w:r>
    </w:p>
    <w:p>
      <w:r>
        <w:t>NoDrftSystems uses a three-tier contract structure to streamline engagements and minimize negotiation overhead for repeat clients.</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Document</w:t>
            </w:r>
          </w:p>
        </w:tc>
        <w:tc>
          <w:tcPr>
            <w:tcW w:type="dxa" w:w="2880"/>
            <w:shd w:fill="2A3D52"/>
          </w:tcPr>
          <w:p>
            <w:r>
              <w:rPr>
                <w:b/>
                <w:color w:val="FFFFFF"/>
              </w:rPr>
              <w:t>Purpose</w:t>
            </w:r>
          </w:p>
        </w:tc>
        <w:tc>
          <w:tcPr>
            <w:tcW w:type="dxa" w:w="2880"/>
            <w:shd w:fill="2A3D52"/>
          </w:tcPr>
          <w:p>
            <w:r>
              <w:rPr>
                <w:b/>
                <w:color w:val="FFFFFF"/>
              </w:rPr>
              <w:t>Frequency</w:t>
            </w:r>
          </w:p>
        </w:tc>
      </w:tr>
      <w:tr>
        <w:tc>
          <w:tcPr>
            <w:tcW w:type="dxa" w:w="2880"/>
          </w:tcPr>
          <w:p>
            <w:r>
              <w:t>Master Services Agreement (MSA)</w:t>
            </w:r>
          </w:p>
        </w:tc>
        <w:tc>
          <w:tcPr>
            <w:tcW w:type="dxa" w:w="2880"/>
          </w:tcPr>
          <w:p>
            <w:r>
              <w:t>Governs overall relationship, terms, liability</w:t>
            </w:r>
          </w:p>
        </w:tc>
        <w:tc>
          <w:tcPr>
            <w:tcW w:type="dxa" w:w="2880"/>
          </w:tcPr>
          <w:p>
            <w:r>
              <w:t>Once per client</w:t>
            </w:r>
          </w:p>
        </w:tc>
      </w:tr>
      <w:tr>
        <w:tc>
          <w:tcPr>
            <w:tcW w:type="dxa" w:w="2880"/>
          </w:tcPr>
          <w:p>
            <w:r>
              <w:t>Statement of Work (SOW)</w:t>
            </w:r>
          </w:p>
        </w:tc>
        <w:tc>
          <w:tcPr>
            <w:tcW w:type="dxa" w:w="2880"/>
          </w:tcPr>
          <w:p>
            <w:r>
              <w:t>Defines specific project scope, timeline, deliverables</w:t>
            </w:r>
          </w:p>
        </w:tc>
        <w:tc>
          <w:tcPr>
            <w:tcW w:type="dxa" w:w="2880"/>
          </w:tcPr>
          <w:p>
            <w:r>
              <w:t>Per project</w:t>
            </w:r>
          </w:p>
        </w:tc>
      </w:tr>
      <w:tr>
        <w:tc>
          <w:tcPr>
            <w:tcW w:type="dxa" w:w="2880"/>
          </w:tcPr>
          <w:p>
            <w:r>
              <w:t>Non-Disclosure Agreement (NDA)</w:t>
            </w:r>
          </w:p>
        </w:tc>
        <w:tc>
          <w:tcPr>
            <w:tcW w:type="dxa" w:w="2880"/>
          </w:tcPr>
          <w:p>
            <w:r>
              <w:t>Protects confidential information exchange</w:t>
            </w:r>
          </w:p>
        </w:tc>
        <w:tc>
          <w:tcPr>
            <w:tcW w:type="dxa" w:w="2880"/>
          </w:tcPr>
          <w:p>
            <w:r>
              <w:t>Once per client (if needed)</w:t>
            </w:r>
          </w:p>
        </w:tc>
      </w:tr>
    </w:tbl>
    <w:p>
      <w:pPr>
        <w:pStyle w:val="Heading2"/>
      </w:pPr>
      <w:r>
        <w:t>1.2 Contract Workflow</w:t>
      </w:r>
    </w:p>
    <w:p>
      <w:pPr>
        <w:pStyle w:val="ListNumber"/>
      </w:pPr>
      <w:r>
        <w:t>Initial client discussion → NDA (if sharing confidential information)</w:t>
      </w:r>
    </w:p>
    <w:p>
      <w:pPr>
        <w:pStyle w:val="ListNumber"/>
      </w:pPr>
      <w:r>
        <w:t>Discovery call → Proposal with SOW outline</w:t>
      </w:r>
    </w:p>
    <w:p>
      <w:pPr>
        <w:pStyle w:val="ListNumber"/>
      </w:pPr>
      <w:r>
        <w:t>Proposal acceptance → MSA + SOW execution</w:t>
      </w:r>
    </w:p>
    <w:p>
      <w:pPr>
        <w:pStyle w:val="ListNumber"/>
      </w:pPr>
      <w:r>
        <w:t>Project kickoff → Work begins upon signed contracts + initial payment</w:t>
      </w:r>
    </w:p>
    <w:p>
      <w:r>
        <w:br w:type="page"/>
      </w:r>
    </w:p>
    <w:p>
      <w:pPr>
        <w:pStyle w:val="Heading1"/>
      </w:pPr>
      <w:r>
        <w:t>2. Master Services Agreement (MSA)</w:t>
      </w:r>
    </w:p>
    <w:p>
      <w:pPr>
        <w:pStyle w:val="Heading2"/>
      </w:pPr>
      <w:r>
        <w:t>2.1 MSA Structure</w:t>
      </w:r>
    </w:p>
    <w:p>
      <w:r>
        <w:t>The MSA establishes the foundational legal relationship between NoDrftSystems and the client.</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Section</w:t>
            </w:r>
          </w:p>
        </w:tc>
        <w:tc>
          <w:tcPr>
            <w:tcW w:type="dxa" w:w="4320"/>
            <w:shd w:fill="2A3D52"/>
          </w:tcPr>
          <w:p>
            <w:r>
              <w:rPr>
                <w:b/>
                <w:color w:val="FFFFFF"/>
              </w:rPr>
              <w:t>Description</w:t>
            </w:r>
          </w:p>
        </w:tc>
      </w:tr>
      <w:tr>
        <w:tc>
          <w:tcPr>
            <w:tcW w:type="dxa" w:w="4320"/>
          </w:tcPr>
          <w:p>
            <w:r>
              <w:t>1. Definitions</w:t>
            </w:r>
          </w:p>
        </w:tc>
        <w:tc>
          <w:tcPr>
            <w:tcW w:type="dxa" w:w="4320"/>
          </w:tcPr>
          <w:p>
            <w:r>
              <w:t>Key terms and definitions used throughout the agreement</w:t>
            </w:r>
          </w:p>
        </w:tc>
      </w:tr>
      <w:tr>
        <w:tc>
          <w:tcPr>
            <w:tcW w:type="dxa" w:w="4320"/>
          </w:tcPr>
          <w:p>
            <w:r>
              <w:t>2. Services</w:t>
            </w:r>
          </w:p>
        </w:tc>
        <w:tc>
          <w:tcPr>
            <w:tcW w:type="dxa" w:w="4320"/>
          </w:tcPr>
          <w:p>
            <w:r>
              <w:t>General description of services NoDrftSystems provides</w:t>
            </w:r>
          </w:p>
        </w:tc>
      </w:tr>
      <w:tr>
        <w:tc>
          <w:tcPr>
            <w:tcW w:type="dxa" w:w="4320"/>
          </w:tcPr>
          <w:p>
            <w:r>
              <w:t>3. Client Obligations</w:t>
            </w:r>
          </w:p>
        </w:tc>
        <w:tc>
          <w:tcPr>
            <w:tcW w:type="dxa" w:w="4320"/>
          </w:tcPr>
          <w:p>
            <w:r>
              <w:t>Client responsibilities: access, feedback, approvals</w:t>
            </w:r>
          </w:p>
        </w:tc>
      </w:tr>
      <w:tr>
        <w:tc>
          <w:tcPr>
            <w:tcW w:type="dxa" w:w="4320"/>
          </w:tcPr>
          <w:p>
            <w:r>
              <w:t>4. Intellectual Property</w:t>
            </w:r>
          </w:p>
        </w:tc>
        <w:tc>
          <w:tcPr>
            <w:tcW w:type="dxa" w:w="4320"/>
          </w:tcPr>
          <w:p>
            <w:r>
              <w:t>IP ownership, licensing, work-for-hire provisions</w:t>
            </w:r>
          </w:p>
        </w:tc>
      </w:tr>
      <w:tr>
        <w:tc>
          <w:tcPr>
            <w:tcW w:type="dxa" w:w="4320"/>
          </w:tcPr>
          <w:p>
            <w:r>
              <w:t>5. Confidentiality</w:t>
            </w:r>
          </w:p>
        </w:tc>
        <w:tc>
          <w:tcPr>
            <w:tcW w:type="dxa" w:w="4320"/>
          </w:tcPr>
          <w:p>
            <w:r>
              <w:t>Protection of confidential information for both parties</w:t>
            </w:r>
          </w:p>
        </w:tc>
      </w:tr>
      <w:tr>
        <w:tc>
          <w:tcPr>
            <w:tcW w:type="dxa" w:w="4320"/>
          </w:tcPr>
          <w:p>
            <w:r>
              <w:t>6. Payment Terms</w:t>
            </w:r>
          </w:p>
        </w:tc>
        <w:tc>
          <w:tcPr>
            <w:tcW w:type="dxa" w:w="4320"/>
          </w:tcPr>
          <w:p>
            <w:r>
              <w:t>Invoicing, payment schedule, late fees, expenses</w:t>
            </w:r>
          </w:p>
        </w:tc>
      </w:tr>
      <w:tr>
        <w:tc>
          <w:tcPr>
            <w:tcW w:type="dxa" w:w="4320"/>
          </w:tcPr>
          <w:p>
            <w:r>
              <w:t>7. Warranties</w:t>
            </w:r>
          </w:p>
        </w:tc>
        <w:tc>
          <w:tcPr>
            <w:tcW w:type="dxa" w:w="4320"/>
          </w:tcPr>
          <w:p>
            <w:r>
              <w:t>Service warranties, disclaimers, limitations</w:t>
            </w:r>
          </w:p>
        </w:tc>
      </w:tr>
      <w:tr>
        <w:tc>
          <w:tcPr>
            <w:tcW w:type="dxa" w:w="4320"/>
          </w:tcPr>
          <w:p>
            <w:r>
              <w:t>8. Limitation of Liability</w:t>
            </w:r>
          </w:p>
        </w:tc>
        <w:tc>
          <w:tcPr>
            <w:tcW w:type="dxa" w:w="4320"/>
          </w:tcPr>
          <w:p>
            <w:r>
              <w:t>Liability caps, excluded damages</w:t>
            </w:r>
          </w:p>
        </w:tc>
      </w:tr>
      <w:tr>
        <w:tc>
          <w:tcPr>
            <w:tcW w:type="dxa" w:w="4320"/>
          </w:tcPr>
          <w:p>
            <w:r>
              <w:t>9. Term &amp; Termination</w:t>
            </w:r>
          </w:p>
        </w:tc>
        <w:tc>
          <w:tcPr>
            <w:tcW w:type="dxa" w:w="4320"/>
          </w:tcPr>
          <w:p>
            <w:r>
              <w:t>Agreement duration, termination conditions, effects</w:t>
            </w:r>
          </w:p>
        </w:tc>
      </w:tr>
      <w:tr>
        <w:tc>
          <w:tcPr>
            <w:tcW w:type="dxa" w:w="4320"/>
          </w:tcPr>
          <w:p>
            <w:r>
              <w:t>10. General Provisions</w:t>
            </w:r>
          </w:p>
        </w:tc>
        <w:tc>
          <w:tcPr>
            <w:tcW w:type="dxa" w:w="4320"/>
          </w:tcPr>
          <w:p>
            <w:r>
              <w:t>Governing law, dispute resolution, amendments</w:t>
            </w:r>
          </w:p>
        </w:tc>
      </w:tr>
    </w:tbl>
    <w:p>
      <w:pPr>
        <w:pStyle w:val="Heading2"/>
      </w:pPr>
      <w:r>
        <w:t>2.2 Key MSA Terms</w:t>
      </w:r>
    </w:p>
    <w:p>
      <w:r>
        <w:rPr>
          <w:b/>
        </w:rPr>
        <w:t xml:space="preserve">Term: </w:t>
      </w:r>
      <w:r>
        <w:t>Initial term of 12 months, auto-renews unless terminated with 30-day notice</w:t>
      </w:r>
    </w:p>
    <w:p>
      <w:r>
        <w:rPr>
          <w:b/>
        </w:rPr>
        <w:t xml:space="preserve">Governing Law: </w:t>
      </w:r>
      <w:r>
        <w:t>Delaware, USA (consistent with LLC formation)</w:t>
      </w:r>
    </w:p>
    <w:p>
      <w:r>
        <w:rPr>
          <w:b/>
        </w:rPr>
        <w:t xml:space="preserve">Dispute Resolution: </w:t>
      </w:r>
      <w:r>
        <w:t>Binding arbitration under AAA rules, Delaware venue</w:t>
      </w:r>
    </w:p>
    <w:p>
      <w:r>
        <w:rPr>
          <w:b/>
        </w:rPr>
        <w:t xml:space="preserve">Notice Period: </w:t>
      </w:r>
      <w:r>
        <w:t>30 days written notice for termination without cause</w:t>
      </w:r>
    </w:p>
    <w:p>
      <w:r>
        <w:rPr>
          <w:b/>
        </w:rPr>
        <w:t xml:space="preserve">Survival Clauses: </w:t>
      </w:r>
      <w:r>
        <w:t>IP, confidentiality, liability limitations survive termination</w:t>
      </w:r>
    </w:p>
    <w:p>
      <w:r>
        <w:br w:type="page"/>
      </w:r>
    </w:p>
    <w:p>
      <w:pPr>
        <w:pStyle w:val="Heading1"/>
      </w:pPr>
      <w:r>
        <w:t>3. Statement of Work (SOW)</w:t>
      </w:r>
    </w:p>
    <w:p>
      <w:pPr>
        <w:pStyle w:val="Heading2"/>
      </w:pPr>
      <w:r>
        <w:t>3.1 SOW Purpose</w:t>
      </w:r>
    </w:p>
    <w:p>
      <w:r>
        <w:t>Each project requires a separate SOW that references the MSA and defines project-specific terms. The SOW is the binding document for scope, timeline, and payment.</w:t>
      </w:r>
    </w:p>
    <w:p>
      <w:pPr>
        <w:pStyle w:val="Heading2"/>
      </w:pPr>
      <w:r>
        <w:t>3.2 SOW Required Elements</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Element</w:t>
            </w:r>
          </w:p>
        </w:tc>
        <w:tc>
          <w:tcPr>
            <w:tcW w:type="dxa" w:w="4320"/>
            <w:shd w:fill="2A3D52"/>
          </w:tcPr>
          <w:p>
            <w:r>
              <w:rPr>
                <w:b/>
                <w:color w:val="FFFFFF"/>
              </w:rPr>
              <w:t>Description</w:t>
            </w:r>
          </w:p>
        </w:tc>
      </w:tr>
      <w:tr>
        <w:tc>
          <w:tcPr>
            <w:tcW w:type="dxa" w:w="4320"/>
          </w:tcPr>
          <w:p>
            <w:r>
              <w:t>Project Overview</w:t>
            </w:r>
          </w:p>
        </w:tc>
        <w:tc>
          <w:tcPr>
            <w:tcW w:type="dxa" w:w="4320"/>
          </w:tcPr>
          <w:p>
            <w:r>
              <w:t>Brief description of project goals and context</w:t>
            </w:r>
          </w:p>
        </w:tc>
      </w:tr>
      <w:tr>
        <w:tc>
          <w:tcPr>
            <w:tcW w:type="dxa" w:w="4320"/>
          </w:tcPr>
          <w:p>
            <w:r>
              <w:t>Scope of Work</w:t>
            </w:r>
          </w:p>
        </w:tc>
        <w:tc>
          <w:tcPr>
            <w:tcW w:type="dxa" w:w="4320"/>
          </w:tcPr>
          <w:p>
            <w:r>
              <w:t>Detailed description of services to be performed</w:t>
            </w:r>
          </w:p>
        </w:tc>
      </w:tr>
      <w:tr>
        <w:tc>
          <w:tcPr>
            <w:tcW w:type="dxa" w:w="4320"/>
          </w:tcPr>
          <w:p>
            <w:r>
              <w:t>Deliverables</w:t>
            </w:r>
          </w:p>
        </w:tc>
        <w:tc>
          <w:tcPr>
            <w:tcW w:type="dxa" w:w="4320"/>
          </w:tcPr>
          <w:p>
            <w:r>
              <w:t>Specific outputs with acceptance criteria</w:t>
            </w:r>
          </w:p>
        </w:tc>
      </w:tr>
      <w:tr>
        <w:tc>
          <w:tcPr>
            <w:tcW w:type="dxa" w:w="4320"/>
          </w:tcPr>
          <w:p>
            <w:r>
              <w:t>Timeline</w:t>
            </w:r>
          </w:p>
        </w:tc>
        <w:tc>
          <w:tcPr>
            <w:tcW w:type="dxa" w:w="4320"/>
          </w:tcPr>
          <w:p>
            <w:r>
              <w:t>Project schedule with milestones and dates</w:t>
            </w:r>
          </w:p>
        </w:tc>
      </w:tr>
      <w:tr>
        <w:tc>
          <w:tcPr>
            <w:tcW w:type="dxa" w:w="4320"/>
          </w:tcPr>
          <w:p>
            <w:r>
              <w:t>Pricing</w:t>
            </w:r>
          </w:p>
        </w:tc>
        <w:tc>
          <w:tcPr>
            <w:tcW w:type="dxa" w:w="4320"/>
          </w:tcPr>
          <w:p>
            <w:r>
              <w:t>Total project cost, payment schedule, expenses</w:t>
            </w:r>
          </w:p>
        </w:tc>
      </w:tr>
      <w:tr>
        <w:tc>
          <w:tcPr>
            <w:tcW w:type="dxa" w:w="4320"/>
          </w:tcPr>
          <w:p>
            <w:r>
              <w:t>Assumptions</w:t>
            </w:r>
          </w:p>
        </w:tc>
        <w:tc>
          <w:tcPr>
            <w:tcW w:type="dxa" w:w="4320"/>
          </w:tcPr>
          <w:p>
            <w:r>
              <w:t>Dependencies and prerequisites for successful delivery</w:t>
            </w:r>
          </w:p>
        </w:tc>
      </w:tr>
      <w:tr>
        <w:tc>
          <w:tcPr>
            <w:tcW w:type="dxa" w:w="4320"/>
          </w:tcPr>
          <w:p>
            <w:r>
              <w:t>Exclusions</w:t>
            </w:r>
          </w:p>
        </w:tc>
        <w:tc>
          <w:tcPr>
            <w:tcW w:type="dxa" w:w="4320"/>
          </w:tcPr>
          <w:p>
            <w:r>
              <w:t>What is explicitly NOT included in the scope</w:t>
            </w:r>
          </w:p>
        </w:tc>
      </w:tr>
      <w:tr>
        <w:tc>
          <w:tcPr>
            <w:tcW w:type="dxa" w:w="4320"/>
          </w:tcPr>
          <w:p>
            <w:r>
              <w:t>Change Order Process</w:t>
            </w:r>
          </w:p>
        </w:tc>
        <w:tc>
          <w:tcPr>
            <w:tcW w:type="dxa" w:w="4320"/>
          </w:tcPr>
          <w:p>
            <w:r>
              <w:t>How scope changes will be requested, priced, and approved</w:t>
            </w:r>
          </w:p>
        </w:tc>
      </w:tr>
      <w:tr>
        <w:tc>
          <w:tcPr>
            <w:tcW w:type="dxa" w:w="4320"/>
          </w:tcPr>
          <w:p>
            <w:r>
              <w:t>Acceptance Criteria</w:t>
            </w:r>
          </w:p>
        </w:tc>
        <w:tc>
          <w:tcPr>
            <w:tcW w:type="dxa" w:w="4320"/>
          </w:tcPr>
          <w:p>
            <w:r>
              <w:t>Definition of when deliverables are considered complete</w:t>
            </w:r>
          </w:p>
        </w:tc>
      </w:tr>
    </w:tbl>
    <w:p>
      <w:pPr>
        <w:pStyle w:val="Heading2"/>
      </w:pPr>
      <w:r>
        <w:t>3.3 Change Order Process</w:t>
      </w:r>
    </w:p>
    <w:p>
      <w:r>
        <w:t>Scope changes after SOW execution require a formal Change Order:</w:t>
      </w:r>
    </w:p>
    <w:p>
      <w:pPr>
        <w:pStyle w:val="ListNumber"/>
      </w:pPr>
      <w:r>
        <w:t>Client requests change in writing (email acceptable)</w:t>
      </w:r>
    </w:p>
    <w:p>
      <w:pPr>
        <w:pStyle w:val="ListNumber"/>
      </w:pPr>
      <w:r>
        <w:t>NoDrftSystems assesses impact on timeline and budget within 2 business days</w:t>
      </w:r>
    </w:p>
    <w:p>
      <w:pPr>
        <w:pStyle w:val="ListNumber"/>
      </w:pPr>
      <w:r>
        <w:t>Change Order document prepared with revised scope, timeline, and pricing</w:t>
      </w:r>
    </w:p>
    <w:p>
      <w:pPr>
        <w:pStyle w:val="ListNumber"/>
      </w:pPr>
      <w:r>
        <w:t>Both parties sign Change Order before work proceeds</w:t>
      </w:r>
    </w:p>
    <w:p>
      <w:pPr>
        <w:pStyle w:val="ListNumber"/>
      </w:pPr>
      <w:r>
        <w:t>Unapproved changes are out of scope and not performed</w:t>
      </w:r>
    </w:p>
    <w:p>
      <w:r>
        <w:br w:type="page"/>
      </w:r>
    </w:p>
    <w:p>
      <w:pPr>
        <w:pStyle w:val="Heading1"/>
      </w:pPr>
      <w:r>
        <w:t>4. Non-Disclosure Agreement (NDA)</w:t>
      </w:r>
    </w:p>
    <w:p>
      <w:pPr>
        <w:pStyle w:val="Heading2"/>
      </w:pPr>
      <w:r>
        <w:t>4.1 NDA Types</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Type</w:t>
            </w:r>
          </w:p>
        </w:tc>
        <w:tc>
          <w:tcPr>
            <w:tcW w:type="dxa" w:w="2880"/>
            <w:shd w:fill="2A3D52"/>
          </w:tcPr>
          <w:p>
            <w:r>
              <w:rPr>
                <w:b/>
                <w:color w:val="FFFFFF"/>
              </w:rPr>
              <w:t>Use Case</w:t>
            </w:r>
          </w:p>
        </w:tc>
        <w:tc>
          <w:tcPr>
            <w:tcW w:type="dxa" w:w="2880"/>
            <w:shd w:fill="2A3D52"/>
          </w:tcPr>
          <w:p>
            <w:r>
              <w:rPr>
                <w:b/>
                <w:color w:val="FFFFFF"/>
              </w:rPr>
              <w:t>Duration</w:t>
            </w:r>
          </w:p>
        </w:tc>
      </w:tr>
      <w:tr>
        <w:tc>
          <w:tcPr>
            <w:tcW w:type="dxa" w:w="2880"/>
          </w:tcPr>
          <w:p>
            <w:r>
              <w:t>Mutual NDA</w:t>
            </w:r>
          </w:p>
        </w:tc>
        <w:tc>
          <w:tcPr>
            <w:tcW w:type="dxa" w:w="2880"/>
          </w:tcPr>
          <w:p>
            <w:r>
              <w:t>Both parties sharing confidential information</w:t>
            </w:r>
          </w:p>
        </w:tc>
        <w:tc>
          <w:tcPr>
            <w:tcW w:type="dxa" w:w="2880"/>
          </w:tcPr>
          <w:p>
            <w:r>
              <w:t>3 years post-termination</w:t>
            </w:r>
          </w:p>
        </w:tc>
      </w:tr>
      <w:tr>
        <w:tc>
          <w:tcPr>
            <w:tcW w:type="dxa" w:w="2880"/>
          </w:tcPr>
          <w:p>
            <w:r>
              <w:t>One-Way NDA</w:t>
            </w:r>
          </w:p>
        </w:tc>
        <w:tc>
          <w:tcPr>
            <w:tcW w:type="dxa" w:w="2880"/>
          </w:tcPr>
          <w:p>
            <w:r>
              <w:t>Only client sharing confidential information</w:t>
            </w:r>
          </w:p>
        </w:tc>
        <w:tc>
          <w:tcPr>
            <w:tcW w:type="dxa" w:w="2880"/>
          </w:tcPr>
          <w:p>
            <w:r>
              <w:t>3 years post-termination</w:t>
            </w:r>
          </w:p>
        </w:tc>
      </w:tr>
    </w:tbl>
    <w:p>
      <w:pPr>
        <w:pStyle w:val="Heading2"/>
      </w:pPr>
      <w:r>
        <w:t>4.2 NDA Key Provisions</w:t>
      </w:r>
    </w:p>
    <w:p>
      <w:r>
        <w:rPr>
          <w:b/>
        </w:rPr>
        <w:t xml:space="preserve">Definition of Confidential Information: </w:t>
      </w:r>
      <w:r>
        <w:t>Marked as confidential or reasonably understood to be confidential</w:t>
      </w:r>
    </w:p>
    <w:p>
      <w:r>
        <w:rPr>
          <w:b/>
        </w:rPr>
        <w:t xml:space="preserve">Obligations of Receiving Party: </w:t>
      </w:r>
      <w:r>
        <w:t>Use only for evaluation, protect with reasonable care, limit access</w:t>
      </w:r>
    </w:p>
    <w:p>
      <w:r>
        <w:rPr>
          <w:b/>
        </w:rPr>
        <w:t xml:space="preserve">Exceptions: </w:t>
      </w:r>
      <w:r>
        <w:t>Publicly available, already known, independently developed, required by law</w:t>
      </w:r>
    </w:p>
    <w:p>
      <w:r>
        <w:rPr>
          <w:b/>
        </w:rPr>
        <w:t xml:space="preserve">Return of Information: </w:t>
      </w:r>
      <w:r>
        <w:t>Return or destroy upon request or termination</w:t>
      </w:r>
    </w:p>
    <w:p>
      <w:r>
        <w:rPr>
          <w:b/>
        </w:rPr>
        <w:t xml:space="preserve">Remedies: </w:t>
      </w:r>
      <w:r>
        <w:t>Injunctive relief available for breach</w:t>
      </w:r>
    </w:p>
    <w:p>
      <w:r>
        <w:br w:type="page"/>
      </w:r>
    </w:p>
    <w:p>
      <w:pPr>
        <w:pStyle w:val="Heading1"/>
      </w:pPr>
      <w:r>
        <w:t>5. Intellectual Property Framework</w:t>
      </w:r>
    </w:p>
    <w:p>
      <w:pPr>
        <w:pStyle w:val="Heading2"/>
      </w:pPr>
      <w:r>
        <w:t>5.1 IP Ownership Structure</w:t>
      </w:r>
    </w:p>
    <w:p>
      <w:r>
        <w:t>NoDrftSystems uses a work-for-hire model with specific carve-outs for methodology, tools, and pre-existing IP.</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Category</w:t>
            </w:r>
          </w:p>
        </w:tc>
        <w:tc>
          <w:tcPr>
            <w:tcW w:type="dxa" w:w="2880"/>
            <w:shd w:fill="2A3D52"/>
          </w:tcPr>
          <w:p>
            <w:r>
              <w:rPr>
                <w:b/>
                <w:color w:val="FFFFFF"/>
              </w:rPr>
              <w:t>Ownership</w:t>
            </w:r>
          </w:p>
        </w:tc>
        <w:tc>
          <w:tcPr>
            <w:tcW w:type="dxa" w:w="2880"/>
            <w:shd w:fill="2A3D52"/>
          </w:tcPr>
          <w:p>
            <w:r>
              <w:rPr>
                <w:b/>
                <w:color w:val="FFFFFF"/>
              </w:rPr>
              <w:t>Notes</w:t>
            </w:r>
          </w:p>
        </w:tc>
      </w:tr>
      <w:tr>
        <w:tc>
          <w:tcPr>
            <w:tcW w:type="dxa" w:w="2880"/>
          </w:tcPr>
          <w:p>
            <w:r>
              <w:t>Client Deliverables</w:t>
            </w:r>
          </w:p>
        </w:tc>
        <w:tc>
          <w:tcPr>
            <w:tcW w:type="dxa" w:w="2880"/>
          </w:tcPr>
          <w:p>
            <w:r>
              <w:t>Client</w:t>
            </w:r>
          </w:p>
        </w:tc>
        <w:tc>
          <w:tcPr>
            <w:tcW w:type="dxa" w:w="2880"/>
          </w:tcPr>
          <w:p>
            <w:r>
              <w:t>All code, designs, documentation created specifically for client</w:t>
            </w:r>
          </w:p>
        </w:tc>
      </w:tr>
      <w:tr>
        <w:tc>
          <w:tcPr>
            <w:tcW w:type="dxa" w:w="2880"/>
          </w:tcPr>
          <w:p>
            <w:r>
              <w:t>Pre-Existing IP</w:t>
            </w:r>
          </w:p>
        </w:tc>
        <w:tc>
          <w:tcPr>
            <w:tcW w:type="dxa" w:w="2880"/>
          </w:tcPr>
          <w:p>
            <w:r>
              <w:t>NoDrftSystems</w:t>
            </w:r>
          </w:p>
        </w:tc>
        <w:tc>
          <w:tcPr>
            <w:tcW w:type="dxa" w:w="2880"/>
          </w:tcPr>
          <w:p>
            <w:r>
              <w:t>Frameworks, libraries, tools developed prior to engagement</w:t>
            </w:r>
          </w:p>
        </w:tc>
      </w:tr>
      <w:tr>
        <w:tc>
          <w:tcPr>
            <w:tcW w:type="dxa" w:w="2880"/>
          </w:tcPr>
          <w:p>
            <w:r>
              <w:t>Methodology</w:t>
            </w:r>
          </w:p>
        </w:tc>
        <w:tc>
          <w:tcPr>
            <w:tcW w:type="dxa" w:w="2880"/>
          </w:tcPr>
          <w:p>
            <w:r>
              <w:t>NoDrftSystems</w:t>
            </w:r>
          </w:p>
        </w:tc>
        <w:tc>
          <w:tcPr>
            <w:tcW w:type="dxa" w:w="2880"/>
          </w:tcPr>
          <w:p>
            <w:r>
              <w:t>Processes, workflows, AI prompts, internal tools</w:t>
            </w:r>
          </w:p>
        </w:tc>
      </w:tr>
      <w:tr>
        <w:tc>
          <w:tcPr>
            <w:tcW w:type="dxa" w:w="2880"/>
          </w:tcPr>
          <w:p>
            <w:r>
              <w:t>Third-Party Assets</w:t>
            </w:r>
          </w:p>
        </w:tc>
        <w:tc>
          <w:tcPr>
            <w:tcW w:type="dxa" w:w="2880"/>
          </w:tcPr>
          <w:p>
            <w:r>
              <w:t>Per License</w:t>
            </w:r>
          </w:p>
        </w:tc>
        <w:tc>
          <w:tcPr>
            <w:tcW w:type="dxa" w:w="2880"/>
          </w:tcPr>
          <w:p>
            <w:r>
              <w:t>Open source, licensed components used with proper attribution</w:t>
            </w:r>
          </w:p>
        </w:tc>
      </w:tr>
    </w:tbl>
    <w:p>
      <w:pPr>
        <w:pStyle w:val="Heading2"/>
      </w:pPr>
      <w:r>
        <w:t>5.2 License Grants</w:t>
      </w:r>
    </w:p>
    <w:p>
      <w:r>
        <w:rPr>
          <w:b/>
        </w:rPr>
        <w:t xml:space="preserve">NoDrftSystems to Client: </w:t>
      </w:r>
      <w:r>
        <w:t>Perpetual, worldwide, royalty-free license to all deliverables</w:t>
      </w:r>
    </w:p>
    <w:p>
      <w:r>
        <w:rPr>
          <w:b/>
        </w:rPr>
        <w:t xml:space="preserve">Client to NoDrftSystems: </w:t>
      </w:r>
      <w:r>
        <w:t>Limited license to use client IP solely for project performance</w:t>
      </w:r>
    </w:p>
    <w:p>
      <w:r>
        <w:rPr>
          <w:b/>
        </w:rPr>
        <w:t xml:space="preserve">Portfolio Rights: </w:t>
      </w:r>
      <w:r>
        <w:t>NoDrftSystems may display work in portfolio unless explicitly restricted</w:t>
      </w:r>
    </w:p>
    <w:p>
      <w:pPr>
        <w:pStyle w:val="Heading2"/>
      </w:pPr>
      <w:r>
        <w:t>5.3 Open Source &amp; Third-Party</w:t>
      </w:r>
    </w:p>
    <w:p>
      <w:r>
        <w:t>NoDrftSystems may use open source and third-party components in deliverables. All such components will be documented with license terms. Client is responsible for compliance with applicable open source licenses in their use of deliverables.</w:t>
      </w:r>
    </w:p>
    <w:p>
      <w:r>
        <w:br w:type="page"/>
      </w:r>
    </w:p>
    <w:p>
      <w:pPr>
        <w:pStyle w:val="Heading1"/>
      </w:pPr>
      <w:r>
        <w:t>6. Data Handling &amp; Privacy</w:t>
      </w:r>
    </w:p>
    <w:p>
      <w:pPr>
        <w:pStyle w:val="Heading2"/>
      </w:pPr>
      <w:r>
        <w:t>6.1 Data Classification</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Classification</w:t>
            </w:r>
          </w:p>
        </w:tc>
        <w:tc>
          <w:tcPr>
            <w:tcW w:type="dxa" w:w="2880"/>
            <w:shd w:fill="2A3D52"/>
          </w:tcPr>
          <w:p>
            <w:r>
              <w:rPr>
                <w:b/>
                <w:color w:val="FFFFFF"/>
              </w:rPr>
              <w:t>Examples</w:t>
            </w:r>
          </w:p>
        </w:tc>
        <w:tc>
          <w:tcPr>
            <w:tcW w:type="dxa" w:w="2880"/>
            <w:shd w:fill="2A3D52"/>
          </w:tcPr>
          <w:p>
            <w:r>
              <w:rPr>
                <w:b/>
                <w:color w:val="FFFFFF"/>
              </w:rPr>
              <w:t>Handling</w:t>
            </w:r>
          </w:p>
        </w:tc>
      </w:tr>
      <w:tr>
        <w:tc>
          <w:tcPr>
            <w:tcW w:type="dxa" w:w="2880"/>
          </w:tcPr>
          <w:p>
            <w:r>
              <w:t>Public</w:t>
            </w:r>
          </w:p>
        </w:tc>
        <w:tc>
          <w:tcPr>
            <w:tcW w:type="dxa" w:w="2880"/>
          </w:tcPr>
          <w:p>
            <w:r>
              <w:t>Marketing materials, published content</w:t>
            </w:r>
          </w:p>
        </w:tc>
        <w:tc>
          <w:tcPr>
            <w:tcW w:type="dxa" w:w="2880"/>
          </w:tcPr>
          <w:p>
            <w:r>
              <w:t>No restrictions</w:t>
            </w:r>
          </w:p>
        </w:tc>
      </w:tr>
      <w:tr>
        <w:tc>
          <w:tcPr>
            <w:tcW w:type="dxa" w:w="2880"/>
          </w:tcPr>
          <w:p>
            <w:r>
              <w:t>Internal</w:t>
            </w:r>
          </w:p>
        </w:tc>
        <w:tc>
          <w:tcPr>
            <w:tcW w:type="dxa" w:w="2880"/>
          </w:tcPr>
          <w:p>
            <w:r>
              <w:t>Project plans, non-sensitive communications</w:t>
            </w:r>
          </w:p>
        </w:tc>
        <w:tc>
          <w:tcPr>
            <w:tcW w:type="dxa" w:w="2880"/>
          </w:tcPr>
          <w:p>
            <w:r>
              <w:t>Share on need-to-know basis</w:t>
            </w:r>
          </w:p>
        </w:tc>
      </w:tr>
      <w:tr>
        <w:tc>
          <w:tcPr>
            <w:tcW w:type="dxa" w:w="2880"/>
          </w:tcPr>
          <w:p>
            <w:r>
              <w:t>Confidential</w:t>
            </w:r>
          </w:p>
        </w:tc>
        <w:tc>
          <w:tcPr>
            <w:tcW w:type="dxa" w:w="2880"/>
          </w:tcPr>
          <w:p>
            <w:r>
              <w:t>User data, business metrics, source code</w:t>
            </w:r>
          </w:p>
        </w:tc>
        <w:tc>
          <w:tcPr>
            <w:tcW w:type="dxa" w:w="2880"/>
          </w:tcPr>
          <w:p>
            <w:r>
              <w:t>Encrypted storage, access controls</w:t>
            </w:r>
          </w:p>
        </w:tc>
      </w:tr>
    </w:tbl>
    <w:p>
      <w:pPr>
        <w:pStyle w:val="Heading2"/>
      </w:pPr>
      <w:r>
        <w:t>6.2 Privacy Compliance</w:t>
      </w:r>
    </w:p>
    <w:p>
      <w:r>
        <w:t>NoDrftSystems adheres to applicable privacy regulations including GDPR (EU) and CCPA (California). Specific commitments:</w:t>
      </w:r>
    </w:p>
    <w:p>
      <w:pPr>
        <w:pStyle w:val="ListBullet"/>
      </w:pPr>
      <w:r>
        <w:t>Data minimization: Only collect data necessary for project performance</w:t>
      </w:r>
    </w:p>
    <w:p>
      <w:pPr>
        <w:pStyle w:val="ListBullet"/>
      </w:pPr>
      <w:r>
        <w:t>Data security: Encryption at rest and in transit, access logging</w:t>
      </w:r>
    </w:p>
    <w:p>
      <w:pPr>
        <w:pStyle w:val="ListBullet"/>
      </w:pPr>
      <w:r>
        <w:t>Data retention: Client data deleted 30 days post-project unless otherwise agreed</w:t>
      </w:r>
    </w:p>
    <w:p>
      <w:pPr>
        <w:pStyle w:val="ListBullet"/>
      </w:pPr>
      <w:r>
        <w:t>Breach notification: Client notified within 24 hours of any suspected data breach</w:t>
      </w:r>
    </w:p>
    <w:p>
      <w:pPr>
        <w:pStyle w:val="ListBullet"/>
      </w:pPr>
      <w:r>
        <w:t>Subprocessor notification: Client notified of any third-party services processing their data</w:t>
      </w:r>
    </w:p>
    <w:p>
      <w:pPr>
        <w:pStyle w:val="Heading2"/>
      </w:pPr>
      <w:r>
        <w:t>6.3 AI &amp; Data Processing</w:t>
      </w:r>
    </w:p>
    <w:p>
      <w:r>
        <w:t>NoDrftSystems uses AI tools that may process client data. Key commitments:</w:t>
      </w:r>
    </w:p>
    <w:p>
      <w:pPr>
        <w:pStyle w:val="ListBullet"/>
      </w:pPr>
      <w:r>
        <w:t>No client data is used to train AI models without explicit written consent</w:t>
      </w:r>
    </w:p>
    <w:p>
      <w:pPr>
        <w:pStyle w:val="ListBullet"/>
      </w:pPr>
      <w:r>
        <w:t>AI tools are selected based on enterprise-grade security and data handling</w:t>
      </w:r>
    </w:p>
    <w:p>
      <w:pPr>
        <w:pStyle w:val="ListBullet"/>
      </w:pPr>
      <w:r>
        <w:t>Client may request list of AI tools used and their data processing terms</w:t>
      </w:r>
    </w:p>
    <w:p>
      <w:pPr>
        <w:pStyle w:val="ListBullet"/>
      </w:pPr>
      <w:r>
        <w:t>Sensitive data (PII, PHI, financial) is anonymized or excluded from AI processing</w:t>
      </w:r>
    </w:p>
    <w:p>
      <w:r>
        <w:br w:type="page"/>
      </w:r>
    </w:p>
    <w:p>
      <w:pPr>
        <w:pStyle w:val="Heading1"/>
      </w:pPr>
      <w:r>
        <w:t>7. Payment Terms &amp; Collections</w:t>
      </w:r>
    </w:p>
    <w:p>
      <w:pPr>
        <w:pStyle w:val="Heading2"/>
      </w:pPr>
      <w:r>
        <w:t>7.1 Standard Payment Structure</w:t>
      </w:r>
    </w:p>
    <w:tbl>
      <w:tblPr>
        <w:tblStyle w:val="TableGrid"/>
        <w:tblW w:type="auto" w:w="0"/>
        <w:tblLook w:firstColumn="1" w:firstRow="1" w:lastColumn="0" w:lastRow="0" w:noHBand="0" w:noVBand="1" w:val="04A0"/>
      </w:tblPr>
      <w:tblGrid>
        <w:gridCol w:w="2880"/>
        <w:gridCol w:w="2880"/>
        <w:gridCol w:w="2880"/>
      </w:tblGrid>
      <w:tr>
        <w:tc>
          <w:tcPr>
            <w:tcW w:type="dxa" w:w="2880"/>
            <w:shd w:fill="2A3D52"/>
          </w:tcPr>
          <w:p>
            <w:r>
              <w:rPr>
                <w:b/>
                <w:color w:val="FFFFFF"/>
              </w:rPr>
              <w:t>Project Type</w:t>
            </w:r>
          </w:p>
        </w:tc>
        <w:tc>
          <w:tcPr>
            <w:tcW w:type="dxa" w:w="2880"/>
            <w:shd w:fill="2A3D52"/>
          </w:tcPr>
          <w:p>
            <w:r>
              <w:rPr>
                <w:b/>
                <w:color w:val="FFFFFF"/>
              </w:rPr>
              <w:t>Payment Schedule</w:t>
            </w:r>
          </w:p>
        </w:tc>
        <w:tc>
          <w:tcPr>
            <w:tcW w:type="dxa" w:w="2880"/>
            <w:shd w:fill="2A3D52"/>
          </w:tcPr>
          <w:p>
            <w:r>
              <w:rPr>
                <w:b/>
                <w:color w:val="FFFFFF"/>
              </w:rPr>
              <w:t>Terms</w:t>
            </w:r>
          </w:p>
        </w:tc>
      </w:tr>
      <w:tr>
        <w:tc>
          <w:tcPr>
            <w:tcW w:type="dxa" w:w="2880"/>
          </w:tcPr>
          <w:p>
            <w:r>
              <w:t>Diagnostic (&lt;$15K)</w:t>
            </w:r>
          </w:p>
        </w:tc>
        <w:tc>
          <w:tcPr>
            <w:tcW w:type="dxa" w:w="2880"/>
          </w:tcPr>
          <w:p>
            <w:r>
              <w:t>100% upfront</w:t>
            </w:r>
          </w:p>
        </w:tc>
        <w:tc>
          <w:tcPr>
            <w:tcW w:type="dxa" w:w="2880"/>
          </w:tcPr>
          <w:p>
            <w:r>
              <w:t>Net 0</w:t>
            </w:r>
          </w:p>
        </w:tc>
      </w:tr>
      <w:tr>
        <w:tc>
          <w:tcPr>
            <w:tcW w:type="dxa" w:w="2880"/>
          </w:tcPr>
          <w:p>
            <w:r>
              <w:t>Foundation ($35-65K)</w:t>
            </w:r>
          </w:p>
        </w:tc>
        <w:tc>
          <w:tcPr>
            <w:tcW w:type="dxa" w:w="2880"/>
          </w:tcPr>
          <w:p>
            <w:r>
              <w:t>40% kickoff, 30% midpoint, 30% delivery</w:t>
            </w:r>
          </w:p>
        </w:tc>
        <w:tc>
          <w:tcPr>
            <w:tcW w:type="dxa" w:w="2880"/>
          </w:tcPr>
          <w:p>
            <w:r>
              <w:t>Net 15</w:t>
            </w:r>
          </w:p>
        </w:tc>
      </w:tr>
      <w:tr>
        <w:tc>
          <w:tcPr>
            <w:tcW w:type="dxa" w:w="2880"/>
          </w:tcPr>
          <w:p>
            <w:r>
              <w:t>Growth ($45-85K)</w:t>
            </w:r>
          </w:p>
        </w:tc>
        <w:tc>
          <w:tcPr>
            <w:tcW w:type="dxa" w:w="2880"/>
          </w:tcPr>
          <w:p>
            <w:r>
              <w:t>40% kickoff, 30% midpoint, 30% delivery</w:t>
            </w:r>
          </w:p>
        </w:tc>
        <w:tc>
          <w:tcPr>
            <w:tcW w:type="dxa" w:w="2880"/>
          </w:tcPr>
          <w:p>
            <w:r>
              <w:t>Net 15</w:t>
            </w:r>
          </w:p>
        </w:tc>
      </w:tr>
      <w:tr>
        <w:tc>
          <w:tcPr>
            <w:tcW w:type="dxa" w:w="2880"/>
          </w:tcPr>
          <w:p>
            <w:r>
              <w:t>Scale ($85-150K)</w:t>
            </w:r>
          </w:p>
        </w:tc>
        <w:tc>
          <w:tcPr>
            <w:tcW w:type="dxa" w:w="2880"/>
          </w:tcPr>
          <w:p>
            <w:r>
              <w:t>30% kickoff, 30% design approval, 20% beta, 20% launch</w:t>
            </w:r>
          </w:p>
        </w:tc>
        <w:tc>
          <w:tcPr>
            <w:tcW w:type="dxa" w:w="2880"/>
          </w:tcPr>
          <w:p>
            <w:r>
              <w:t>Net 15</w:t>
            </w:r>
          </w:p>
        </w:tc>
      </w:tr>
    </w:tbl>
    <w:p>
      <w:pPr>
        <w:pStyle w:val="Heading2"/>
      </w:pPr>
      <w:r>
        <w:t>7.2 Late Payment Policy</w:t>
      </w:r>
    </w:p>
    <w:p>
      <w:r>
        <w:rPr>
          <w:b/>
        </w:rPr>
        <w:t xml:space="preserve">Grace Period: </w:t>
      </w:r>
      <w:r>
        <w:t>15 days after invoice due date</w:t>
      </w:r>
    </w:p>
    <w:p>
      <w:r>
        <w:rPr>
          <w:b/>
        </w:rPr>
        <w:t xml:space="preserve">Late Fee: </w:t>
      </w:r>
      <w:r>
        <w:t>1.5% per month (18% APR) on overdue balance</w:t>
      </w:r>
    </w:p>
    <w:p>
      <w:r>
        <w:rPr>
          <w:b/>
        </w:rPr>
        <w:t xml:space="preserve">Work Suspension: </w:t>
      </w:r>
      <w:r>
        <w:t>Work may be suspended after 30 days overdue</w:t>
      </w:r>
    </w:p>
    <w:p>
      <w:r>
        <w:rPr>
          <w:b/>
        </w:rPr>
        <w:t xml:space="preserve">Collections: </w:t>
      </w:r>
      <w:r>
        <w:t>Outstanding balances over 60 days sent to collections</w:t>
      </w:r>
    </w:p>
    <w:p>
      <w:r>
        <w:rPr>
          <w:b/>
        </w:rPr>
        <w:t xml:space="preserve">Kill Fee: </w:t>
      </w:r>
      <w:r>
        <w:t>If client terminates after kickoff, 50% of remaining balance due</w:t>
      </w:r>
    </w:p>
    <w:p>
      <w:pPr>
        <w:pStyle w:val="Heading2"/>
      </w:pPr>
      <w:r>
        <w:t>7.3 Expense Policy</w:t>
      </w:r>
    </w:p>
    <w:p>
      <w:r>
        <w:t>Project quotes include all standard development expenses. Additional expenses require pre-approval and are billed at cost + 15% administrative fee:</w:t>
      </w:r>
    </w:p>
    <w:p>
      <w:pPr>
        <w:pStyle w:val="ListBullet"/>
      </w:pPr>
      <w:r>
        <w:t>Third-party software licenses (if not already owned)</w:t>
      </w:r>
    </w:p>
    <w:p>
      <w:pPr>
        <w:pStyle w:val="ListBullet"/>
      </w:pPr>
      <w:r>
        <w:t>Stock photography, fonts, or design assets</w:t>
      </w:r>
    </w:p>
    <w:p>
      <w:pPr>
        <w:pStyle w:val="ListBullet"/>
      </w:pPr>
      <w:r>
        <w:t>Specialized hosting or infrastructure costs</w:t>
      </w:r>
    </w:p>
    <w:p>
      <w:pPr>
        <w:pStyle w:val="ListBullet"/>
      </w:pPr>
      <w:r>
        <w:t>Travel (if specifically requested by client)</w:t>
      </w:r>
    </w:p>
    <w:p>
      <w:r>
        <w:br w:type="page"/>
      </w:r>
    </w:p>
    <w:p>
      <w:pPr>
        <w:pStyle w:val="Heading1"/>
      </w:pPr>
      <w:r>
        <w:t>8. Liability &amp; Indemnification</w:t>
      </w:r>
    </w:p>
    <w:p>
      <w:pPr>
        <w:pStyle w:val="Heading2"/>
      </w:pPr>
      <w:r>
        <w:t>8.1 Liability Limitations</w:t>
      </w:r>
    </w:p>
    <w:tbl>
      <w:tblPr>
        <w:tblStyle w:val="TableGrid"/>
        <w:tblW w:type="auto" w:w="0"/>
        <w:tblLook w:firstColumn="1" w:firstRow="1" w:lastColumn="0" w:lastRow="0" w:noHBand="0" w:noVBand="1" w:val="04A0"/>
      </w:tblPr>
      <w:tblGrid>
        <w:gridCol w:w="4320"/>
        <w:gridCol w:w="4320"/>
      </w:tblGrid>
      <w:tr>
        <w:tc>
          <w:tcPr>
            <w:tcW w:type="dxa" w:w="4320"/>
            <w:shd w:fill="2A3D52"/>
          </w:tcPr>
          <w:p>
            <w:r>
              <w:rPr>
                <w:b/>
                <w:color w:val="FFFFFF"/>
              </w:rPr>
              <w:t>Provision</w:t>
            </w:r>
          </w:p>
        </w:tc>
        <w:tc>
          <w:tcPr>
            <w:tcW w:type="dxa" w:w="4320"/>
            <w:shd w:fill="2A3D52"/>
          </w:tcPr>
          <w:p>
            <w:r>
              <w:rPr>
                <w:b/>
                <w:color w:val="FFFFFF"/>
              </w:rPr>
              <w:t>Terms</w:t>
            </w:r>
          </w:p>
        </w:tc>
      </w:tr>
      <w:tr>
        <w:tc>
          <w:tcPr>
            <w:tcW w:type="dxa" w:w="4320"/>
          </w:tcPr>
          <w:p>
            <w:r>
              <w:t>Liability Cap</w:t>
            </w:r>
          </w:p>
        </w:tc>
        <w:tc>
          <w:tcPr>
            <w:tcW w:type="dxa" w:w="4320"/>
          </w:tcPr>
          <w:p>
            <w:r>
              <w:t>Total fees paid under the applicable SOW (12-month lookback)</w:t>
            </w:r>
          </w:p>
        </w:tc>
      </w:tr>
      <w:tr>
        <w:tc>
          <w:tcPr>
            <w:tcW w:type="dxa" w:w="4320"/>
          </w:tcPr>
          <w:p>
            <w:r>
              <w:t>Excluded Damages</w:t>
            </w:r>
          </w:p>
        </w:tc>
        <w:tc>
          <w:tcPr>
            <w:tcW w:type="dxa" w:w="4320"/>
          </w:tcPr>
          <w:p>
            <w:r>
              <w:t>Consequential, incidental, punitive, special damages</w:t>
            </w:r>
          </w:p>
        </w:tc>
      </w:tr>
      <w:tr>
        <w:tc>
          <w:tcPr>
            <w:tcW w:type="dxa" w:w="4320"/>
          </w:tcPr>
          <w:p>
            <w:r>
              <w:t>Force Majeure</w:t>
            </w:r>
          </w:p>
        </w:tc>
        <w:tc>
          <w:tcPr>
            <w:tcW w:type="dxa" w:w="4320"/>
          </w:tcPr>
          <w:p>
            <w:r>
              <w:t>Neither party liable for delays beyond reasonable control</w:t>
            </w:r>
          </w:p>
        </w:tc>
      </w:tr>
      <w:tr>
        <w:tc>
          <w:tcPr>
            <w:tcW w:type="dxa" w:w="4320"/>
          </w:tcPr>
          <w:p>
            <w:r>
              <w:t>Warranty Limitation</w:t>
            </w:r>
          </w:p>
        </w:tc>
        <w:tc>
          <w:tcPr>
            <w:tcW w:type="dxa" w:w="4320"/>
          </w:tcPr>
          <w:p>
            <w:r>
              <w:t>Services provided "as-is" with no warranties beyond express terms</w:t>
            </w:r>
          </w:p>
        </w:tc>
      </w:tr>
    </w:tbl>
    <w:p>
      <w:pPr>
        <w:pStyle w:val="Heading2"/>
      </w:pPr>
      <w:r>
        <w:t>8.2 Indemnification</w:t>
      </w:r>
    </w:p>
    <w:p>
      <w:r>
        <w:t>Each party agrees to indemnify the other against:</w:t>
      </w:r>
    </w:p>
    <w:p>
      <w:pPr>
        <w:pStyle w:val="ListBullet"/>
      </w:pPr>
      <w:r>
        <w:t>Third-party claims arising from breach of agreement</w:t>
      </w:r>
    </w:p>
    <w:p>
      <w:pPr>
        <w:pStyle w:val="ListBullet"/>
      </w:pPr>
      <w:r>
        <w:t>IP infringement claims arising from materials provided by indemnifying party</w:t>
      </w:r>
    </w:p>
    <w:p>
      <w:pPr>
        <w:pStyle w:val="ListBullet"/>
      </w:pPr>
      <w:r>
        <w:t>Violations of applicable laws by indemnifying party</w:t>
      </w:r>
    </w:p>
    <w:p>
      <w:r>
        <w:br w:type="page"/>
      </w:r>
    </w:p>
    <w:p>
      <w:pPr>
        <w:pStyle w:val="Heading1"/>
      </w:pPr>
      <w:r>
        <w:t>9. AI Disclosure Requirements</w:t>
      </w:r>
    </w:p>
    <w:p>
      <w:pPr>
        <w:pStyle w:val="Heading2"/>
      </w:pPr>
      <w:r>
        <w:t>9.1 AI Usage Transparency</w:t>
      </w:r>
    </w:p>
    <w:p>
      <w:r>
        <w:t>NoDrftSystems is an AI-native studio. We disclose our AI usage to clients and comply with emerging AI transparency regulations.</w:t>
      </w:r>
    </w:p>
    <w:p>
      <w:pPr>
        <w:pStyle w:val="Heading2"/>
      </w:pPr>
      <w:r>
        <w:t>9.2 Required Disclosures</w:t>
      </w:r>
    </w:p>
    <w:p>
      <w:r>
        <w:t>All SOWs include the following AI disclosure:</w:t>
      </w:r>
    </w:p>
    <w:p>
      <w:r>
        <w:rPr>
          <w:i/>
        </w:rPr>
        <w:t>"NoDrftSystems uses artificial intelligence tools in the delivery of services. AI is used for code generation, design assistance, content creation, testing, and quality assurance. All AI-generated outputs are reviewed and validated by human experts before delivery. Client data is processed in accordance with our Privacy Policy and applicable data protection laws."</w:t>
      </w:r>
    </w:p>
    <w:p>
      <w:pPr>
        <w:pStyle w:val="Heading2"/>
      </w:pPr>
      <w:r>
        <w:t>9.3 Client AI Rights</w:t>
      </w:r>
    </w:p>
    <w:p>
      <w:r>
        <w:rPr>
          <w:b/>
        </w:rPr>
        <w:t xml:space="preserve">Opt-Out: </w:t>
      </w:r>
      <w:r>
        <w:t>Client may request limited AI usage for specific components (may affect timeline/cost)</w:t>
      </w:r>
    </w:p>
    <w:p>
      <w:r>
        <w:rPr>
          <w:b/>
        </w:rPr>
        <w:t xml:space="preserve">Transparency: </w:t>
      </w:r>
      <w:r>
        <w:t>Client may request documentation of AI tools used in their project</w:t>
      </w:r>
    </w:p>
    <w:p>
      <w:r>
        <w:rPr>
          <w:b/>
        </w:rPr>
        <w:t xml:space="preserve">Data Protection: </w:t>
      </w:r>
      <w:r>
        <w:t>Client data is not used to train AI models without explicit consent</w:t>
      </w:r>
    </w:p>
    <w:p>
      <w:r>
        <w:br w:type="page"/>
      </w:r>
    </w:p>
    <w:p>
      <w:pPr>
        <w:pStyle w:val="Heading1"/>
      </w:pPr>
      <w:r>
        <w:t>10. Appendices</w:t>
      </w:r>
    </w:p>
    <w:p>
      <w:pPr>
        <w:pStyle w:val="Heading2"/>
      </w:pPr>
      <w:r>
        <w:t>Appendix A: MSA Template Outline</w:t>
      </w:r>
    </w:p>
    <w:p>
      <w:r>
        <w:t>MASTER SERVICES AGREEMENT</w:t>
      </w:r>
    </w:p>
    <w:p/>
    <w:p>
      <w:r>
        <w:t>This Master Services Agreement ("Agreement") is entered into as of [DATE] ("Effective Date") by and between:</w:t>
      </w:r>
    </w:p>
    <w:p/>
    <w:p>
      <w:r>
        <w:t>NoDrftSystems, LLC, a Delaware limited liability company ("Contractor")</w:t>
      </w:r>
    </w:p>
    <w:p>
      <w:r>
        <w:t>AND</w:t>
      </w:r>
    </w:p>
    <w:p>
      <w:r>
        <w:t>[CLIENT NAME], a [ENTITY TYPE] ("Client")</w:t>
      </w:r>
    </w:p>
    <w:p/>
    <w:p>
      <w:r>
        <w:t>RECITALS</w:t>
      </w:r>
    </w:p>
    <w:p>
      <w:r>
        <w:t>[Standard recitals language]</w:t>
      </w:r>
    </w:p>
    <w:p/>
    <w:p>
      <w:r>
        <w:t>AGREEMENT</w:t>
      </w:r>
    </w:p>
    <w:p>
      <w:r>
        <w:t>1. DEFINITIONS</w:t>
      </w:r>
    </w:p>
    <w:p>
      <w:r>
        <w:t>1.1 "Deliverables" means all work product created by Contractor for Client...</w:t>
      </w:r>
    </w:p>
    <w:p>
      <w:r>
        <w:t>1.2 "Confidential Information" means...</w:t>
      </w:r>
    </w:p>
    <w:p/>
    <w:p>
      <w:r>
        <w:t>[Continue with all sections outlined in Section 2.1]</w:t>
      </w:r>
    </w:p>
    <w:p/>
    <w:p>
      <w:r>
        <w:t>IN WITNESS WHEREOF, the parties have executed this Agreement as of the Effective Date.</w:t>
      </w:r>
    </w:p>
    <w:p/>
    <w:p>
      <w:r>
        <w:t>CONTRACTOR: NoDrftSystems, LLC</w:t>
      </w:r>
    </w:p>
    <w:p>
      <w:r>
        <w:t>Signature: ___________________</w:t>
      </w:r>
    </w:p>
    <w:p>
      <w:r>
        <w:t>Name: [Authorized Signatory]</w:t>
      </w:r>
    </w:p>
    <w:p>
      <w:r>
        <w:t>Title: [Title]</w:t>
      </w:r>
    </w:p>
    <w:p>
      <w:r>
        <w:t>Date: ___________________</w:t>
      </w:r>
    </w:p>
    <w:p/>
    <w:p>
      <w:r>
        <w:t>CLIENT: [Client Name]</w:t>
      </w:r>
    </w:p>
    <w:p>
      <w:r>
        <w:t>Signature: ___________________</w:t>
      </w:r>
    </w:p>
    <w:p>
      <w:r>
        <w:t>Name: [Authorized Signatory]</w:t>
      </w:r>
    </w:p>
    <w:p>
      <w:r>
        <w:t>Title: [Title]</w:t>
      </w:r>
    </w:p>
    <w:p>
      <w:r>
        <w:t>Date: ___________________</w:t>
      </w:r>
    </w:p>
    <w:p>
      <w:pPr>
        <w:pStyle w:val="Heading2"/>
      </w:pPr>
      <w:r>
        <w:t>Appendix B: SOW Template Outline</w:t>
      </w:r>
    </w:p>
    <w:p>
      <w:r>
        <w:t>STATEMENT OF WORK #[NUMBER]</w:t>
      </w:r>
    </w:p>
    <w:p/>
    <w:p>
      <w:r>
        <w:t>This Statement of Work ("SOW") is entered into under the Master Services Agreement dated [DATE] between NoDrftSystems, LLC and [CLIENT NAME].</w:t>
      </w:r>
    </w:p>
    <w:p/>
    <w:p>
      <w:r>
        <w:t>1. PROJECT OVERVIEW</w:t>
      </w:r>
    </w:p>
    <w:p>
      <w:r>
        <w:t>[Project description and objectives]</w:t>
      </w:r>
    </w:p>
    <w:p/>
    <w:p>
      <w:r>
        <w:t>2. SCOPE OF WORK</w:t>
      </w:r>
    </w:p>
    <w:p>
      <w:r>
        <w:t>[Detailed description of services]</w:t>
      </w:r>
    </w:p>
    <w:p/>
    <w:p>
      <w:r>
        <w:t>3. DELIVERABLES</w:t>
      </w:r>
    </w:p>
    <w:p>
      <w:r>
        <w:t>[List of specific deliverables with acceptance criteria]</w:t>
      </w:r>
    </w:p>
    <w:p/>
    <w:p>
      <w:r>
        <w:t>4. TIMELINE</w:t>
      </w:r>
    </w:p>
    <w:p>
      <w:r>
        <w:t>[Project schedule with milestones]</w:t>
      </w:r>
    </w:p>
    <w:p/>
    <w:p>
      <w:r>
        <w:t>5. PRICING</w:t>
      </w:r>
    </w:p>
    <w:p>
      <w:r>
        <w:t>[Total cost and payment schedule]</w:t>
      </w:r>
    </w:p>
    <w:p/>
    <w:p>
      <w:r>
        <w:t>6. ASSUMPTIONS</w:t>
      </w:r>
    </w:p>
    <w:p>
      <w:r>
        <w:t>[Project dependencies and prerequisites]</w:t>
      </w:r>
    </w:p>
    <w:p/>
    <w:p>
      <w:r>
        <w:t>7. EXCLUSIONS</w:t>
      </w:r>
    </w:p>
    <w:p>
      <w:r>
        <w:t>[What is not included in scope]</w:t>
      </w:r>
    </w:p>
    <w:p/>
    <w:p>
      <w:r>
        <w:t>SIGNATURES:</w:t>
      </w:r>
    </w:p>
    <w:p>
      <w:r>
        <w:t>[Signature blocks for both parties]</w:t>
      </w:r>
    </w:p>
    <w:p>
      <w:pPr>
        <w:pStyle w:val="Heading2"/>
      </w:pPr>
      <w:r>
        <w:t>Appendix C: Legal Review Checklist</w:t>
      </w:r>
    </w:p>
    <w:p>
      <w:r>
        <w:t>[ ] MSA reviewed by licensed attorney</w:t>
      </w:r>
    </w:p>
    <w:p>
      <w:r>
        <w:t>[ ] SOW template reviewed by licensed attorney</w:t>
      </w:r>
    </w:p>
    <w:p>
      <w:r>
        <w:t>[ ] NDA template reviewed by licensed attorney</w:t>
      </w:r>
    </w:p>
    <w:p>
      <w:r>
        <w:t>[ ] IP clauses aligned with business strategy</w:t>
      </w:r>
    </w:p>
    <w:p>
      <w:r>
        <w:t>[ ] Liability caps appropriate for risk profile</w:t>
      </w:r>
    </w:p>
    <w:p>
      <w:r>
        <w:t>[ ] Payment terms enforceable in jurisdiction</w:t>
      </w:r>
    </w:p>
    <w:p>
      <w:r>
        <w:t>[ ] AI disclosures compliant with applicable law</w:t>
      </w:r>
    </w:p>
    <w:p>
      <w:r>
        <w:t>[ ] Privacy terms aligned with data handling practices</w:t>
      </w:r>
    </w:p>
    <w:p>
      <w:r>
        <w:t>[ ] Dispute resolution mechanism appropriate</w:t>
      </w:r>
    </w:p>
    <w:p>
      <w:r>
        <w:t>[ ] Insurance coverage adequate for liability exposure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B40000"/>
        <w:sz w:val="18"/>
      </w:rPr>
      <w:t>NoDrftSystems Legal &amp; Contract Framework | Confidential - Legal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