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480"/>
        <w:jc w:val="center"/>
      </w:pPr>
      <w:r>
        <w:rPr>
          <w:rFonts w:ascii="Arial" w:cs="Arial" w:eastAsia="Arial" w:hAnsi="Arial"/>
          <w:b/>
          <w:bCs/>
          <w:color w:val="0F3460"/>
          <w:sz w:val="64"/>
          <w:szCs w:val="64"/>
        </w:rPr>
        <w:t xml:space="preserve">NODRFTSYSTEMS</w:t>
      </w:r>
    </w:p>
    <w:p>
      <w:pPr>
        <w:spacing w:after="480" w:before="0"/>
        <w:jc w:val="center"/>
      </w:pPr>
      <w:r>
        <w:rPr>
          <w:rFonts w:ascii="Arial" w:cs="Arial" w:eastAsia="Arial" w:hAnsi="Arial"/>
          <w:i/>
          <w:iCs/>
          <w:color w:val="E94560"/>
          <w:sz w:val="24"/>
          <w:szCs w:val="24"/>
        </w:rPr>
        <w:t xml:space="preserve">Zero Drift. Zero Compromise. Built to Last.</w:t>
      </w:r>
    </w:p>
    <w:p>
      <w:pPr>
        <w:pBdr>
          <w:bottom w:val="single" w:color="D9D9D9" w:sz="4" w:space="1"/>
        </w:pBdr>
        <w:spacing w:after="160" w:before="160"/>
      </w:pPr>
    </w:p>
    <w:p>
      <w:pPr>
        <w:spacing w:after="120" w:before="480"/>
        <w:jc w:val="center"/>
      </w:pPr>
      <w:r>
        <w:rPr>
          <w:rFonts w:ascii="Arial" w:cs="Arial" w:eastAsia="Arial" w:hAnsi="Arial"/>
          <w:b/>
          <w:bCs/>
          <w:color w:val="1A1A2E"/>
          <w:sz w:val="44"/>
          <w:szCs w:val="44"/>
        </w:rPr>
        <w:t xml:space="preserve">OPERATIONAL SYSTEM REPORT</w:t>
      </w:r>
    </w:p>
    <w:p>
      <w:pPr>
        <w:spacing w:after="960" w:before="0"/>
        <w:jc w:val="center"/>
      </w:pPr>
      <w:r>
        <w:rPr>
          <w:rFonts w:ascii="Arial" w:cs="Arial" w:eastAsia="Arial" w:hAnsi="Arial"/>
          <w:i/>
          <w:iCs/>
          <w:color w:val="555555"/>
          <w:sz w:val="22"/>
          <w:szCs w:val="22"/>
        </w:rPr>
        <w:t xml:space="preserve">Full System Audit  |  Deficiency Register  |  Deployment Roadmap  |  Execution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Operational System Report — Internal</w:t>
            </w:r>
          </w:p>
        </w:tc>
      </w:tr>
      <w:tr>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1.0</w:t>
            </w:r>
          </w:p>
        </w:tc>
      </w:tr>
      <w:tr>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April 2026</w:t>
            </w:r>
          </w:p>
        </w:tc>
      </w:tr>
      <w:tr>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Confidential — Internal Use Only</w:t>
            </w:r>
          </w:p>
        </w:tc>
      </w:tr>
      <w:tr>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Founder</w:t>
            </w:r>
          </w:p>
        </w:tc>
      </w:tr>
      <w:tr>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Review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8"/>
                <w:szCs w:val="18"/>
              </w:rPr>
              <w:t xml:space="preserve">Founder — before any client work begins</w:t>
            </w:r>
          </w:p>
        </w:tc>
      </w:tr>
    </w:tbl>
    <w:p>
      <w:r>
        <w:br w:type="page"/>
      </w:r>
    </w:p>
    <w:p>
      <w:pPr>
        <w:pStyle w:val="Heading1"/>
        <w:spacing w:after="160" w:before="360"/>
      </w:pPr>
      <w:r>
        <w:rPr>
          <w:rFonts w:ascii="Arial" w:cs="Arial" w:eastAsia="Arial" w:hAnsi="Arial"/>
          <w:b/>
          <w:bCs/>
          <w:color w:val="0F3460"/>
          <w:sz w:val="36"/>
          <w:szCs w:val="36"/>
        </w:rPr>
        <w:t xml:space="preserve">1. Executive Summary</w:t>
      </w:r>
    </w:p>
    <w:p>
      <w:pPr>
        <w:spacing w:after="60" w:before="60"/>
      </w:pPr>
      <w:r>
        <w:rPr>
          <w:rFonts w:ascii="Arial" w:cs="Arial" w:eastAsia="Arial" w:hAnsi="Arial"/>
          <w:b w:val="false"/>
          <w:bCs w:val="false"/>
          <w:color w:val="1A1A2E"/>
          <w:sz w:val="20"/>
          <w:szCs w:val="20"/>
        </w:rPr>
        <w:t xml:space="preserve">This report is the product of a full audit of the NoDrftSystems project knowledge base — all 40+ documents including the Business Plan v2, all 23 Addendums, operational frameworks, legal templates, and supporting documents. It identifies what is working, what is broken, what is missing, and what must be resolved before any client engagement begins.</w:t>
      </w:r>
    </w:p>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The system is architecturally sound. The three-tier AI model, the Centaur operating philosophy, the SOP library, and the pricing strategy are coherent and commercially credible. Several components represent genuine competitive advantages when deployed correctly.</w:t>
      </w:r>
    </w:p>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However, there are six conditions that block safe execution before they are resolved. These are not improvements — they are hard stops. They are documented below and in the Critical Deficiencies Register.</w:t>
      </w:r>
    </w:p>
    <w:p>
      <w:pPr>
        <w:spacing w:after="60" w:before="60"/>
      </w:pPr>
      <w:r>
        <w:rPr>
          <w:rFonts w:ascii="Arial" w:cs="Arial" w:eastAsia="Arial" w:hAnsi="Arial"/>
          <w:b w:val="false"/>
          <w:bCs w:val="false"/>
          <w:color w:val="1A1A2E"/>
          <w:sz w:val="20"/>
          <w:szCs w:val="20"/>
        </w:rPr>
        <w:t xml:space="preserve"/>
      </w:r>
    </w:p>
    <w:p>
      <w:pPr>
        <w:pStyle w:val="Heading2"/>
        <w:spacing w:after="120" w:before="240"/>
      </w:pPr>
      <w:r>
        <w:rPr>
          <w:rFonts w:ascii="Arial" w:cs="Arial" w:eastAsia="Arial" w:hAnsi="Arial"/>
          <w:b/>
          <w:bCs/>
          <w:color w:val="1A1A2E"/>
          <w:sz w:val="28"/>
          <w:szCs w:val="28"/>
        </w:rPr>
        <w:t xml:space="preserve">Hard Stops Before Client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STOP-001</w:t>
            </w:r>
          </w:p>
        </w:tc>
        <w:tc>
          <w:tcPr>
            <w:tcW w:type="dxa" w:w="8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1A1A2E"/>
                <w:sz w:val="18"/>
                <w:szCs w:val="18"/>
              </w:rPr>
              <w:t xml:space="preserve">Pricing architecture unresolved — two incompatible structures exist in active documents. Every proposal is at risk until Founder designates one as operative.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STOP-002</w:t>
            </w:r>
          </w:p>
        </w:tc>
        <w:tc>
          <w:tcPr>
            <w:tcW w:type="dxa" w:w="8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1A1A2E"/>
                <w:sz w:val="18"/>
                <w:szCs w:val="18"/>
              </w:rPr>
              <w:t xml:space="preserve">Legal documents (MSA, SOW, NDA) not confirmed reviewed by licensed counsel. Sending unreviewed contracts creates direct liability exposure.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STOP-003</w:t>
            </w:r>
          </w:p>
        </w:tc>
        <w:tc>
          <w:tcPr>
            <w:tcW w:type="dxa" w:w="8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1A1A2E"/>
                <w:sz w:val="18"/>
                <w:szCs w:val="18"/>
              </w:rPr>
              <w:t xml:space="preserve">No e-signature tool designated. Contract execution workflow is incomplete without a tool selection.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STOP-004</w:t>
            </w:r>
          </w:p>
        </w:tc>
        <w:tc>
          <w:tcPr>
            <w:tcW w:type="dxa" w:w="8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1A1A2E"/>
                <w:sz w:val="18"/>
                <w:szCs w:val="18"/>
              </w:rPr>
              <w:t xml:space="preserve">Tier 1 AI Supervisor Layer not deployed. Operating 10 isolated agents without orchestration prevents quality control at scale.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18"/>
                <w:szCs w:val="18"/>
              </w:rPr>
              <w:t xml:space="preserve">STOP-005</w:t>
            </w:r>
          </w:p>
        </w:tc>
        <w:tc>
          <w:tcPr>
            <w:tcW w:type="dxa" w:w="8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2E"/>
                <w:sz w:val="18"/>
                <w:szCs w:val="18"/>
              </w:rPr>
              <w:t xml:space="preserve">ARE (AI Reliability Engineer) role vacant. Without this role, QA layer has no human enforcer and AI outputs cannot be safely delivered to clients at volume.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18"/>
                <w:szCs w:val="18"/>
              </w:rPr>
              <w:t xml:space="preserve">MONITORING</w:t>
            </w:r>
          </w:p>
        </w:tc>
        <w:tc>
          <w:tcPr>
            <w:tcW w:type="dxa" w:w="8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2E"/>
                <w:sz w:val="18"/>
                <w:szCs w:val="18"/>
              </w:rPr>
              <w:t xml:space="preserve">No canonical Document Registry exists. 40+ documents with no master list of operative versions creates operational confusion.</w:t>
            </w:r>
          </w:p>
        </w:tc>
      </w:tr>
    </w:tbl>
    <w:p>
      <w:pPr>
        <w:spacing w:before="160"/>
      </w:pPr>
    </w:p>
    <w:p>
      <w:r>
        <w:br w:type="page"/>
      </w:r>
    </w:p>
    <w:p>
      <w:pPr>
        <w:pStyle w:val="Heading1"/>
        <w:spacing w:after="160" w:before="360"/>
      </w:pPr>
      <w:r>
        <w:rPr>
          <w:rFonts w:ascii="Arial" w:cs="Arial" w:eastAsia="Arial" w:hAnsi="Arial"/>
          <w:b/>
          <w:bCs/>
          <w:color w:val="0F3460"/>
          <w:sz w:val="36"/>
          <w:szCs w:val="36"/>
        </w:rPr>
        <w:t xml:space="preserve">2. Verified Facts (High Confidence)</w:t>
      </w:r>
    </w:p>
    <w:p>
      <w:pPr>
        <w:spacing w:after="60" w:before="60"/>
      </w:pPr>
      <w:r>
        <w:rPr>
          <w:rFonts w:ascii="Arial" w:cs="Arial" w:eastAsia="Arial" w:hAnsi="Arial"/>
          <w:b w:val="false"/>
          <w:bCs w:val="false"/>
          <w:color w:val="1A1A2E"/>
          <w:sz w:val="20"/>
          <w:szCs w:val="20"/>
        </w:rPr>
        <w:t xml:space="preserve">The following facts are directly verifiable from the project document set.</w:t>
      </w:r>
    </w:p>
    <w:p>
      <w:pPr>
        <w:pStyle w:val="Heading2"/>
        <w:spacing w:after="120" w:before="240"/>
      </w:pPr>
      <w:r>
        <w:rPr>
          <w:rFonts w:ascii="Arial" w:cs="Arial" w:eastAsia="Arial" w:hAnsi="Arial"/>
          <w:b/>
          <w:bCs/>
          <w:color w:val="1A1A2E"/>
          <w:sz w:val="28"/>
          <w:szCs w:val="28"/>
        </w:rPr>
        <w:t xml:space="preserve">2.1 Business Architecture</w:t>
      </w:r>
    </w:p>
    <w:p>
      <w:pPr>
        <w:pStyle w:val="ListParagraph"/>
        <w:numPr>
          <w:ilvl w:val="0"/>
          <w:numId w:val="2"/>
        </w:numPr>
        <w:spacing w:after="40" w:before="40"/>
      </w:pPr>
      <w:r>
        <w:rPr>
          <w:rFonts w:ascii="Arial" w:cs="Arial" w:eastAsia="Arial" w:hAnsi="Arial"/>
          <w:b w:val="false"/>
          <w:bCs w:val="false"/>
          <w:color w:val="1A1A2E"/>
          <w:sz w:val="20"/>
          <w:szCs w:val="20"/>
        </w:rPr>
        <w:t xml:space="preserve">Entity: Delaware LLC (formation listed as $400 in seed capital allocation)</w:t>
      </w:r>
    </w:p>
    <w:p>
      <w:pPr>
        <w:pStyle w:val="ListParagraph"/>
        <w:numPr>
          <w:ilvl w:val="0"/>
          <w:numId w:val="2"/>
        </w:numPr>
        <w:spacing w:after="40" w:before="40"/>
      </w:pPr>
      <w:r>
        <w:rPr>
          <w:rFonts w:ascii="Arial" w:cs="Arial" w:eastAsia="Arial" w:hAnsi="Arial"/>
          <w:b w:val="false"/>
          <w:bCs w:val="false"/>
          <w:color w:val="1A1A2E"/>
          <w:sz w:val="20"/>
          <w:szCs w:val="20"/>
        </w:rPr>
        <w:t xml:space="preserve">Operating model: Centaur Model — AI agents for execution, humans for authorization</w:t>
      </w:r>
    </w:p>
    <w:p>
      <w:pPr>
        <w:pStyle w:val="ListParagraph"/>
        <w:numPr>
          <w:ilvl w:val="0"/>
          <w:numId w:val="2"/>
        </w:numPr>
        <w:spacing w:after="40" w:before="40"/>
      </w:pPr>
      <w:r>
        <w:rPr>
          <w:rFonts w:ascii="Arial" w:cs="Arial" w:eastAsia="Arial" w:hAnsi="Arial"/>
          <w:b w:val="false"/>
          <w:bCs w:val="false"/>
          <w:color w:val="1A1A2E"/>
          <w:sz w:val="20"/>
          <w:szCs w:val="20"/>
        </w:rPr>
        <w:t xml:space="preserve">AI architecture: Three-tier system — 4 Tier 1 supervisors, 32 Tier 2 domain agents, 4 Tier 3 specialists</w:t>
      </w:r>
    </w:p>
    <w:p>
      <w:pPr>
        <w:pStyle w:val="ListParagraph"/>
        <w:numPr>
          <w:ilvl w:val="0"/>
          <w:numId w:val="2"/>
        </w:numPr>
        <w:spacing w:after="40" w:before="40"/>
      </w:pPr>
      <w:r>
        <w:rPr>
          <w:rFonts w:ascii="Arial" w:cs="Arial" w:eastAsia="Arial" w:hAnsi="Arial"/>
          <w:b w:val="false"/>
          <w:bCs w:val="false"/>
          <w:color w:val="1A1A2E"/>
          <w:sz w:val="20"/>
          <w:szCs w:val="20"/>
        </w:rPr>
        <w:t xml:space="preserve">Current state: 10 agents operating in isolation, no orchestration, ~$940/month</w:t>
      </w:r>
    </w:p>
    <w:p>
      <w:pPr>
        <w:pStyle w:val="ListParagraph"/>
        <w:numPr>
          <w:ilvl w:val="0"/>
          <w:numId w:val="2"/>
        </w:numPr>
        <w:spacing w:after="40" w:before="40"/>
      </w:pPr>
      <w:r>
        <w:rPr>
          <w:rFonts w:ascii="Arial" w:cs="Arial" w:eastAsia="Arial" w:hAnsi="Arial"/>
          <w:b w:val="false"/>
          <w:bCs w:val="false"/>
          <w:color w:val="1A1A2E"/>
          <w:sz w:val="20"/>
          <w:szCs w:val="20"/>
        </w:rPr>
        <w:t xml:space="preserve">Target state: 40 agents with supervisor governance, ~$2,770/month</w:t>
      </w:r>
    </w:p>
    <w:p>
      <w:pPr>
        <w:pStyle w:val="ListParagraph"/>
        <w:numPr>
          <w:ilvl w:val="0"/>
          <w:numId w:val="2"/>
        </w:numPr>
        <w:spacing w:after="40" w:before="40"/>
      </w:pPr>
      <w:r>
        <w:rPr>
          <w:rFonts w:ascii="Arial" w:cs="Arial" w:eastAsia="Arial" w:hAnsi="Arial"/>
          <w:b w:val="false"/>
          <w:bCs w:val="false"/>
          <w:color w:val="1A1A2E"/>
          <w:sz w:val="20"/>
          <w:szCs w:val="20"/>
        </w:rPr>
        <w:t xml:space="preserve">Total addendums produced: 23 (Business Plan v2 references only 1–19)</w:t>
      </w:r>
    </w:p>
    <w:p>
      <w:pPr>
        <w:pStyle w:val="ListParagraph"/>
        <w:numPr>
          <w:ilvl w:val="0"/>
          <w:numId w:val="2"/>
        </w:numPr>
        <w:spacing w:after="40" w:before="40"/>
      </w:pPr>
      <w:r>
        <w:rPr>
          <w:rFonts w:ascii="Arial" w:cs="Arial" w:eastAsia="Arial" w:hAnsi="Arial"/>
          <w:b w:val="false"/>
          <w:bCs w:val="false"/>
          <w:color w:val="1A1A2E"/>
          <w:sz w:val="20"/>
          <w:szCs w:val="20"/>
        </w:rPr>
        <w:t xml:space="preserve">Seed capital target: $15,000 (allocation documented in Addendum 21)</w:t>
      </w:r>
    </w:p>
    <w:p>
      <w:pPr>
        <w:pStyle w:val="ListParagraph"/>
        <w:numPr>
          <w:ilvl w:val="0"/>
          <w:numId w:val="2"/>
        </w:numPr>
        <w:spacing w:after="40" w:before="40"/>
      </w:pPr>
      <w:r>
        <w:rPr>
          <w:rFonts w:ascii="Arial" w:cs="Arial" w:eastAsia="Arial" w:hAnsi="Arial"/>
          <w:b w:val="false"/>
          <w:bCs w:val="false"/>
          <w:color w:val="1A1A2E"/>
          <w:sz w:val="20"/>
          <w:szCs w:val="20"/>
        </w:rPr>
        <w:t xml:space="preserve">Break-even target: Month 2 (first project deposit covers Month 2 burn)</w:t>
      </w:r>
    </w:p>
    <w:p>
      <w:pPr>
        <w:pStyle w:val="Heading2"/>
        <w:spacing w:after="120" w:before="240"/>
      </w:pPr>
      <w:r>
        <w:rPr>
          <w:rFonts w:ascii="Arial" w:cs="Arial" w:eastAsia="Arial" w:hAnsi="Arial"/>
          <w:b/>
          <w:bCs/>
          <w:color w:val="1A1A2E"/>
          <w:sz w:val="28"/>
          <w:szCs w:val="28"/>
        </w:rPr>
        <w:t xml:space="preserve">2.2 Service Architecture (Business Plan v2 — operative pending Founder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Deliverable</w:t>
            </w:r>
          </w:p>
        </w:tc>
        <w:tc>
          <w:tcPr>
            <w:tcW w:type="dxa" w:w="1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Timeline</w:t>
            </w:r>
          </w:p>
        </w:tc>
        <w:tc>
          <w:tcPr>
            <w:tcW w:type="dxa" w:w="1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Base Price</w:t>
            </w:r>
          </w:p>
        </w:tc>
        <w:tc>
          <w:tcPr>
            <w:tcW w:type="dxa" w:w="1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Gross Margin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5-page site, CMS, analytics, SEO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 days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~87%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Custom web app, auth, database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4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$12,000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Ecosystem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Web + mobile API + admin + integrations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8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$28,000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Growth Retainer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Ongoing dev, strategy, maintenance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$3,500/mo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~85%</w:t>
            </w:r>
          </w:p>
        </w:tc>
      </w:tr>
    </w:tbl>
    <w:p>
      <w:pPr>
        <w:spacing w:after="60" w:before="60"/>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18"/>
                <w:szCs w:val="18"/>
              </w:rPr>
              <w:t xml:space="preserve">WARNING</w:t>
            </w:r>
          </w:p>
        </w:tc>
        <w:tc>
          <w:tcPr>
            <w:tcW w:type="dxa" w:w="8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2E"/>
                <w:sz w:val="18"/>
                <w:szCs w:val="18"/>
              </w:rPr>
              <w:t xml:space="preserve">A second pricing structure exists in the Business Foundation document with entry at $8,000 (Diagnostic) and max at $150,000 (Scale). These represent different market positioning and cannot both be operative simultaneously. See Section 3.</w:t>
            </w:r>
          </w:p>
        </w:tc>
      </w:tr>
    </w:tbl>
    <w:p>
      <w:pPr>
        <w:spacing w:after="60" w:before="60"/>
      </w:pPr>
      <w:r>
        <w:rPr>
          <w:rFonts w:ascii="Arial" w:cs="Arial" w:eastAsia="Arial" w:hAnsi="Arial"/>
          <w:b w:val="false"/>
          <w:bCs w:val="false"/>
          <w:color w:val="1A1A2E"/>
          <w:sz w:val="20"/>
          <w:szCs w:val="20"/>
        </w:rPr>
        <w:t xml:space="preserve"/>
      </w:r>
    </w:p>
    <w:p>
      <w:pPr>
        <w:pStyle w:val="Heading2"/>
        <w:spacing w:after="120" w:before="240"/>
      </w:pPr>
      <w:r>
        <w:rPr>
          <w:rFonts w:ascii="Arial" w:cs="Arial" w:eastAsia="Arial" w:hAnsi="Arial"/>
          <w:b/>
          <w:bCs/>
          <w:color w:val="1A1A2E"/>
          <w:sz w:val="28"/>
          <w:szCs w:val="28"/>
        </w:rPr>
        <w:t xml:space="preserve">2.3 Monthly Burn Rate (Limited-Data Estimate — Not Confirmed Against Actuals)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Month 1–2</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Month 3–4</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Month 5+</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Human Capital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$1,125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$1,875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$2,650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AI Agent Stack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$540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$1,360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Infrastructure + Tools + Insurance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$665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$915</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API Usage + Contingency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$826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$1,230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$1,485</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2E"/>
                <w:sz w:val="18"/>
                <w:szCs w:val="18"/>
              </w:rPr>
              <w:t xml:space="preserve">TOTAL MONTHLY BURN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2E"/>
                <w:sz w:val="18"/>
                <w:szCs w:val="18"/>
              </w:rPr>
              <w:t xml:space="preserve">~$3,156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2E"/>
                <w:sz w:val="18"/>
                <w:szCs w:val="18"/>
              </w:rPr>
              <w:t xml:space="preserve">~$4,980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2E"/>
                <w:sz w:val="18"/>
                <w:szCs w:val="18"/>
              </w:rPr>
              <w:t xml:space="preserve">~$5,910</w:t>
            </w:r>
          </w:p>
        </w:tc>
      </w:tr>
    </w:tbl>
    <w:p>
      <w:pPr>
        <w:spacing w:after="60" w:before="60"/>
      </w:pPr>
      <w:r>
        <w:rPr>
          <w:rFonts w:ascii="Arial" w:cs="Arial" w:eastAsia="Arial" w:hAnsi="Arial"/>
          <w:b w:val="false"/>
          <w:bCs w:val="false"/>
          <w:color w:val="1A1A2E"/>
          <w:sz w:val="20"/>
          <w:szCs w:val="20"/>
        </w:rPr>
        <w:t xml:space="preserve"/>
      </w:r>
    </w:p>
    <w:p>
      <w:r>
        <w:br w:type="page"/>
      </w:r>
    </w:p>
    <w:p>
      <w:pPr>
        <w:pStyle w:val="Heading1"/>
        <w:spacing w:after="160" w:before="360"/>
      </w:pPr>
      <w:r>
        <w:rPr>
          <w:rFonts w:ascii="Arial" w:cs="Arial" w:eastAsia="Arial" w:hAnsi="Arial"/>
          <w:b/>
          <w:bCs/>
          <w:color w:val="0F3460"/>
          <w:sz w:val="36"/>
          <w:szCs w:val="36"/>
        </w:rPr>
        <w:t xml:space="preserve">3. Analysis</w:t>
      </w:r>
    </w:p>
    <w:p>
      <w:pPr>
        <w:pStyle w:val="Heading2"/>
        <w:spacing w:after="120" w:before="240"/>
      </w:pPr>
      <w:r>
        <w:rPr>
          <w:rFonts w:ascii="Arial" w:cs="Arial" w:eastAsia="Arial" w:hAnsi="Arial"/>
          <w:b/>
          <w:bCs/>
          <w:color w:val="1A1A2E"/>
          <w:sz w:val="28"/>
          <w:szCs w:val="28"/>
        </w:rPr>
        <w:t xml:space="preserve">3.1 The Pricing Architecture Problem</w:t>
      </w:r>
    </w:p>
    <w:p>
      <w:pPr>
        <w:spacing w:after="60" w:before="60"/>
      </w:pPr>
      <w:r>
        <w:rPr>
          <w:rFonts w:ascii="Arial" w:cs="Arial" w:eastAsia="Arial" w:hAnsi="Arial"/>
          <w:b w:val="false"/>
          <w:bCs w:val="false"/>
          <w:color w:val="1A1A2E"/>
          <w:sz w:val="20"/>
          <w:szCs w:val="20"/>
        </w:rPr>
        <w:t xml:space="preserve">This is the most operationally urgent issue in the document set. Two pricing structures coexist in active documents:</w:t>
      </w:r>
    </w:p>
    <w:p>
      <w:pPr>
        <w:spacing w:after="60" w:before="60"/>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273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Plan v2</w:t>
            </w:r>
          </w:p>
        </w:tc>
        <w:tc>
          <w:tcPr>
            <w:tcW w:type="dxa" w:w="273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Foundation</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Entry price point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$3,500 (Launch)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$8,000 (Diagnostic)</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Maximum price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$28,000 (Ecosystem)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$150,000 (Scale)</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Retainer range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$3,500/month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$6,000–20,000/month</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Target client size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SMBs, early-stage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Mid-market, enterprise</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Implied gross margin</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72–87%</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&gt;40% (KPI Framework)</w:t>
            </w:r>
          </w:p>
        </w:tc>
      </w:tr>
    </w:tbl>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These are not close approximations of the same model. They represent fundamentally different positioning, different ICP (Ideal Customer Profile) assumptions, and different financial projections. The entire cash flow model in Addendum 21 is built on the Business Plan v2 pricing. If the Business Foundation pricing is operative instead, the break-even timeline, seed capital allocation, and monthly revenue targets all need to be recalculated.</w:t>
      </w:r>
    </w:p>
    <w:p>
      <w:pPr>
        <w:spacing w:after="60" w:before="60"/>
      </w:pPr>
      <w:r>
        <w:rPr>
          <w:rFonts w:ascii="Arial" w:cs="Arial" w:eastAsia="Arial" w:hAnsi="Arial"/>
          <w:b w:val="false"/>
          <w:bCs w:val="false"/>
          <w:color w:val="1A1A2E"/>
          <w:sz w:val="20"/>
          <w:szCs w:val="20"/>
        </w:rPr>
        <w:t xml:space="preserve">Resolution required from Founder. Both documents retain value — one as the operative model, one as the aspirational or future-state model.</w:t>
      </w:r>
    </w:p>
    <w:p>
      <w:pPr>
        <w:spacing w:after="60" w:before="60"/>
      </w:pPr>
      <w:r>
        <w:rPr>
          <w:rFonts w:ascii="Arial" w:cs="Arial" w:eastAsia="Arial" w:hAnsi="Arial"/>
          <w:b w:val="false"/>
          <w:bCs w:val="false"/>
          <w:color w:val="1A1A2E"/>
          <w:sz w:val="20"/>
          <w:szCs w:val="20"/>
        </w:rPr>
        <w:t xml:space="preserve"/>
      </w:r>
    </w:p>
    <w:p>
      <w:pPr>
        <w:pStyle w:val="Heading2"/>
        <w:spacing w:after="120" w:before="240"/>
      </w:pPr>
      <w:r>
        <w:rPr>
          <w:rFonts w:ascii="Arial" w:cs="Arial" w:eastAsia="Arial" w:hAnsi="Arial"/>
          <w:b/>
          <w:bCs/>
          <w:color w:val="1A1A2E"/>
          <w:sz w:val="28"/>
          <w:szCs w:val="28"/>
        </w:rPr>
        <w:t xml:space="preserve">3.2 AI Agent Architecture: Why Wave 1 Is Non-Negotiable</w:t>
      </w:r>
    </w:p>
    <w:p>
      <w:pPr>
        <w:spacing w:after="60" w:before="60"/>
      </w:pPr>
      <w:r>
        <w:rPr>
          <w:rFonts w:ascii="Arial" w:cs="Arial" w:eastAsia="Arial" w:hAnsi="Arial"/>
          <w:b w:val="false"/>
          <w:bCs w:val="false"/>
          <w:color w:val="1A1A2E"/>
          <w:sz w:val="20"/>
          <w:szCs w:val="20"/>
        </w:rPr>
        <w:t xml:space="preserve">The three-tier architecture is well-designed. The principles (Bounded Authority, Fail-Closed, Human Authority Non-Delegable) are correct. The agent registry across Addendums 14–17 is thorough.</w:t>
      </w:r>
    </w:p>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The problem is the gap between current state and Wave 1. Operating 10 isolated agents without a supervisor layer means:</w:t>
      </w:r>
    </w:p>
    <w:p>
      <w:pPr>
        <w:pStyle w:val="ListParagraph"/>
        <w:numPr>
          <w:ilvl w:val="0"/>
          <w:numId w:val="2"/>
        </w:numPr>
        <w:spacing w:after="40" w:before="40"/>
      </w:pPr>
      <w:r>
        <w:rPr>
          <w:rFonts w:ascii="Arial" w:cs="Arial" w:eastAsia="Arial" w:hAnsi="Arial"/>
          <w:b w:val="false"/>
          <w:bCs w:val="false"/>
          <w:color w:val="1A1A2E"/>
          <w:sz w:val="20"/>
          <w:szCs w:val="20"/>
        </w:rPr>
        <w:t xml:space="preserve">Tasks are routed manually, creating bottlenecks and inconsistency</w:t>
      </w:r>
    </w:p>
    <w:p>
      <w:pPr>
        <w:pStyle w:val="ListParagraph"/>
        <w:numPr>
          <w:ilvl w:val="0"/>
          <w:numId w:val="2"/>
        </w:numPr>
        <w:spacing w:after="40" w:before="40"/>
      </w:pPr>
      <w:r>
        <w:rPr>
          <w:rFonts w:ascii="Arial" w:cs="Arial" w:eastAsia="Arial" w:hAnsi="Arial"/>
          <w:b w:val="false"/>
          <w:bCs w:val="false"/>
          <w:color w:val="1A1A2E"/>
          <w:sz w:val="20"/>
          <w:szCs w:val="20"/>
        </w:rPr>
        <w:t xml:space="preserve">Context is not packaged before agent activation — agents operate on ambient or inferred context</w:t>
      </w:r>
    </w:p>
    <w:p>
      <w:pPr>
        <w:pStyle w:val="ListParagraph"/>
        <w:numPr>
          <w:ilvl w:val="0"/>
          <w:numId w:val="2"/>
        </w:numPr>
        <w:spacing w:after="40" w:before="40"/>
      </w:pPr>
      <w:r>
        <w:rPr>
          <w:rFonts w:ascii="Arial" w:cs="Arial" w:eastAsia="Arial" w:hAnsi="Arial"/>
          <w:b w:val="false"/>
          <w:bCs w:val="false"/>
          <w:color w:val="1A1A2E"/>
          <w:sz w:val="20"/>
          <w:szCs w:val="20"/>
        </w:rPr>
        <w:t xml:space="preserve">Quality gates are unenforced — an agent can produce a low-confidence output that proceeds without challenge</w:t>
      </w:r>
    </w:p>
    <w:p>
      <w:pPr>
        <w:pStyle w:val="ListParagraph"/>
        <w:numPr>
          <w:ilvl w:val="0"/>
          <w:numId w:val="2"/>
        </w:numPr>
        <w:spacing w:after="40" w:before="40"/>
      </w:pPr>
      <w:r>
        <w:rPr>
          <w:rFonts w:ascii="Arial" w:cs="Arial" w:eastAsia="Arial" w:hAnsi="Arial"/>
          <w:b w:val="false"/>
          <w:bCs w:val="false"/>
          <w:color w:val="1A1A2E"/>
          <w:sz w:val="20"/>
          <w:szCs w:val="20"/>
        </w:rPr>
        <w:t xml:space="preserve">Human handoffs are ad hoc, not systematized — the Founder must personally manage every escalation</w:t>
      </w:r>
    </w:p>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The MOA, QAS, CSM, and HHC are not enhancements — they are the architecture that makes every other agent safe to operate. The cost to deploy Wave 1 is +$540/month above current baseline. The cost of not deploying it is quality inconsistency that damages client relationships and erodes the margins the entire model depends on.</w:t>
      </w:r>
    </w:p>
    <w:p>
      <w:pPr>
        <w:spacing w:after="60" w:before="60"/>
      </w:pPr>
      <w:r>
        <w:rPr>
          <w:rFonts w:ascii="Arial" w:cs="Arial" w:eastAsia="Arial" w:hAnsi="Arial"/>
          <w:b w:val="false"/>
          <w:bCs w:val="false"/>
          <w:color w:val="1A1A2E"/>
          <w:sz w:val="20"/>
          <w:szCs w:val="20"/>
        </w:rPr>
        <w:t xml:space="preserve"/>
      </w:r>
    </w:p>
    <w:p>
      <w:pPr>
        <w:pStyle w:val="Heading2"/>
        <w:spacing w:after="120" w:before="240"/>
      </w:pPr>
      <w:r>
        <w:rPr>
          <w:rFonts w:ascii="Arial" w:cs="Arial" w:eastAsia="Arial" w:hAnsi="Arial"/>
          <w:b/>
          <w:bCs/>
          <w:color w:val="1A1A2E"/>
          <w:sz w:val="28"/>
          <w:szCs w:val="28"/>
        </w:rPr>
        <w:t xml:space="preserve">3.3 The ARE Dependency</w:t>
      </w:r>
    </w:p>
    <w:p>
      <w:pPr>
        <w:spacing w:after="60" w:before="60"/>
      </w:pPr>
      <w:r>
        <w:rPr>
          <w:rFonts w:ascii="Arial" w:cs="Arial" w:eastAsia="Arial" w:hAnsi="Arial"/>
          <w:b w:val="false"/>
          <w:bCs w:val="false"/>
          <w:color w:val="1A1A2E"/>
          <w:sz w:val="20"/>
          <w:szCs w:val="20"/>
        </w:rPr>
        <w:t xml:space="preserve">The AI Reliability Engineer appears in 19 separate operational contexts across the document set. They are required for: QA Multi-Pass sign-off, Release Gate authorization, Context-First Definition of Done enforcement, milestone validation, and agent output review.</w:t>
      </w:r>
    </w:p>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Without the ARE, the Founder performs all of these functions. This is a single-point-of-failure that makes the Centaur Model indistinguishable from traditional solo freelancing. The financial model allocates $875/month for the ARE on a commission-only basis in Month 1 — this is the right call. The role should be filled before the first client delivery, not after.</w:t>
      </w:r>
    </w:p>
    <w:p>
      <w:pPr>
        <w:spacing w:after="60" w:before="60"/>
      </w:pPr>
      <w:r>
        <w:rPr>
          <w:rFonts w:ascii="Arial" w:cs="Arial" w:eastAsia="Arial" w:hAnsi="Arial"/>
          <w:b w:val="false"/>
          <w:bCs w:val="false"/>
          <w:color w:val="1A1A2E"/>
          <w:sz w:val="20"/>
          <w:szCs w:val="20"/>
        </w:rPr>
        <w:t xml:space="preserve"/>
      </w:r>
    </w:p>
    <w:p>
      <w:pPr>
        <w:pStyle w:val="Heading2"/>
        <w:spacing w:after="120" w:before="240"/>
      </w:pPr>
      <w:r>
        <w:rPr>
          <w:rFonts w:ascii="Arial" w:cs="Arial" w:eastAsia="Arial" w:hAnsi="Arial"/>
          <w:b/>
          <w:bCs/>
          <w:color w:val="1A1A2E"/>
          <w:sz w:val="28"/>
          <w:szCs w:val="28"/>
        </w:rPr>
        <w:t xml:space="preserve">3.4 Multi-Product Strategy: Sound Premise, Execution Risk</w:t>
      </w:r>
    </w:p>
    <w:p>
      <w:pPr>
        <w:spacing w:after="60" w:before="60"/>
      </w:pPr>
      <w:r>
        <w:rPr>
          <w:rFonts w:ascii="Arial" w:cs="Arial" w:eastAsia="Arial" w:hAnsi="Arial"/>
          <w:b w:val="false"/>
          <w:bCs w:val="false"/>
          <w:color w:val="1A1A2E"/>
          <w:sz w:val="20"/>
          <w:szCs w:val="20"/>
        </w:rPr>
        <w:t xml:space="preserve">The argument in Addendum 23 — that shared AI infrastructure makes simultaneous product development near-zero marginal cost — is structurally valid. Once the $2,770/month agent stack is funded by client services, additional products cost only agent time allocation.</w:t>
      </w:r>
    </w:p>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The execution risk is resource contention. The MOA is the designated arbiter of competing demands on the agent stack. Until MOA is deployed, resource contention is managed manually, which means the Founder makes every prioritization decision. At 3+ active clients and 2+ products in development simultaneously, this becomes untenable.</w:t>
      </w:r>
    </w:p>
    <w:p>
      <w:pPr>
        <w:spacing w:after="60" w:before="60"/>
      </w:pPr>
      <w:r>
        <w:rPr>
          <w:rFonts w:ascii="Arial" w:cs="Arial" w:eastAsia="Arial" w:hAnsi="Arial"/>
          <w:b w:val="false"/>
          <w:bCs w:val="false"/>
          <w:color w:val="1A1A2E"/>
          <w:sz w:val="20"/>
          <w:szCs w:val="20"/>
        </w:rPr>
        <w:t xml:space="preserve">The kill switch criteria (CasaClara: &lt;10 customers by Month 6; RepairForge: &lt;5 by Month 8) are appropriately conservative and should be enforced without exception.</w:t>
      </w:r>
    </w:p>
    <w:p>
      <w:pPr>
        <w:spacing w:after="60" w:before="60"/>
      </w:pPr>
      <w:r>
        <w:rPr>
          <w:rFonts w:ascii="Arial" w:cs="Arial" w:eastAsia="Arial" w:hAnsi="Arial"/>
          <w:b w:val="false"/>
          <w:bCs w:val="false"/>
          <w:color w:val="1A1A2E"/>
          <w:sz w:val="20"/>
          <w:szCs w:val="20"/>
        </w:rPr>
        <w:t xml:space="preserve"/>
      </w:r>
    </w:p>
    <w:p>
      <w:r>
        <w:br w:type="page"/>
      </w:r>
    </w:p>
    <w:p>
      <w:pPr>
        <w:pStyle w:val="Heading1"/>
        <w:spacing w:after="160" w:before="360"/>
      </w:pPr>
      <w:r>
        <w:rPr>
          <w:rFonts w:ascii="Arial" w:cs="Arial" w:eastAsia="Arial" w:hAnsi="Arial"/>
          <w:b/>
          <w:bCs/>
          <w:color w:val="0F3460"/>
          <w:sz w:val="36"/>
          <w:szCs w:val="36"/>
        </w:rPr>
        <w:t xml:space="preserve">4. Unknowns / Data Gaps</w:t>
      </w:r>
    </w:p>
    <w:p>
      <w:pPr>
        <w:spacing w:after="60" w:before="60"/>
      </w:pPr>
      <w:r>
        <w:rPr>
          <w:rFonts w:ascii="Arial" w:cs="Arial" w:eastAsia="Arial" w:hAnsi="Arial"/>
          <w:b w:val="false"/>
          <w:bCs w:val="false"/>
          <w:color w:val="1A1A2E"/>
          <w:sz w:val="20"/>
          <w:szCs w:val="20"/>
        </w:rPr>
        <w:t xml:space="preserve">The following items require human validation and cannot be resolved from document review alone.</w:t>
      </w:r>
    </w:p>
    <w:p>
      <w:pPr>
        <w:spacing w:after="60" w:before="60"/>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4560"/>
      </w:tblGrid>
      <w:tr>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Unknown</w:t>
            </w:r>
          </w:p>
        </w:tc>
        <w:tc>
          <w:tcPr>
            <w:tcW w:type="dxa" w:w="14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Risk</w:t>
            </w:r>
          </w:p>
        </w:tc>
        <w:tc>
          <w:tcPr>
            <w:tcW w:type="dxa" w:w="4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Required For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Legal review status of MSA / SOW / NDA</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C0392B"/>
                <w:sz w:val="18"/>
                <w:szCs w:val="18"/>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First contract execution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ARE hire status and timeline</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First client delivery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E-signature tool selection</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C0392B"/>
                <w:sz w:val="18"/>
                <w:szCs w:val="18"/>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First contract execution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Outbound stack activation (Apollo, Instantly)</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2 revenue targets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CRM tool selection and pipeline setup</w:t>
            </w:r>
          </w:p>
        </w:tc>
        <w:tc>
          <w:tcPr>
            <w:tcW w:type="dxa" w:w="14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MODERATE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Intake routing and tracking</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Operative pricing architecture (v2 vs. Foundation)</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C0392B"/>
                <w:sz w:val="18"/>
                <w:szCs w:val="18"/>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Every proposal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Current agent configuration and active tools</w:t>
            </w:r>
          </w:p>
        </w:tc>
        <w:tc>
          <w:tcPr>
            <w:tcW w:type="dxa" w:w="14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MODERATE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Wave 1 deployment baseline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Seed capital status (secured / in progress / needed)</w:t>
            </w:r>
          </w:p>
        </w:tc>
        <w:tc>
          <w:tcPr>
            <w:tcW w:type="dxa" w:w="14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MODERATE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1 operations</w:t>
            </w:r>
          </w:p>
        </w:tc>
      </w:tr>
    </w:tbl>
    <w:p>
      <w:pPr>
        <w:spacing w:after="60" w:before="60"/>
      </w:pPr>
      <w:r>
        <w:rPr>
          <w:rFonts w:ascii="Arial" w:cs="Arial" w:eastAsia="Arial" w:hAnsi="Arial"/>
          <w:b w:val="false"/>
          <w:bCs w:val="false"/>
          <w:color w:val="1A1A2E"/>
          <w:sz w:val="20"/>
          <w:szCs w:val="20"/>
        </w:rPr>
        <w:t xml:space="preserve"/>
      </w:r>
    </w:p>
    <w:p>
      <w:r>
        <w:br w:type="page"/>
      </w:r>
    </w:p>
    <w:p>
      <w:pPr>
        <w:pStyle w:val="Heading1"/>
        <w:spacing w:after="160" w:before="360"/>
      </w:pPr>
      <w:r>
        <w:rPr>
          <w:rFonts w:ascii="Arial" w:cs="Arial" w:eastAsia="Arial" w:hAnsi="Arial"/>
          <w:b/>
          <w:bCs/>
          <w:color w:val="0F3460"/>
          <w:sz w:val="36"/>
          <w:szCs w:val="36"/>
        </w:rPr>
        <w:t xml:space="preserve">5. Immediate Action Plan</w:t>
      </w:r>
    </w:p>
    <w:p>
      <w:pPr>
        <w:spacing w:after="60" w:before="60"/>
      </w:pPr>
      <w:r>
        <w:rPr>
          <w:rFonts w:ascii="Arial" w:cs="Arial" w:eastAsia="Arial" w:hAnsi="Arial"/>
          <w:b w:val="false"/>
          <w:bCs w:val="false"/>
          <w:color w:val="1A1A2E"/>
          <w:sz w:val="20"/>
          <w:szCs w:val="20"/>
        </w:rPr>
        <w:t xml:space="preserve">Ordered by operational urgency. No item should be skipped to advance a later item.</w:t>
      </w:r>
    </w:p>
    <w:p>
      <w:pPr>
        <w:spacing w:after="60" w:before="60"/>
      </w:pPr>
      <w:r>
        <w:rPr>
          <w:rFonts w:ascii="Arial" w:cs="Arial" w:eastAsia="Arial" w:hAnsi="Arial"/>
          <w:b w:val="false"/>
          <w:bCs w:val="false"/>
          <w:color w:val="1A1A2E"/>
          <w:sz w:val="20"/>
          <w:szCs w:val="20"/>
        </w:rPr>
        <w:t xml:space="preserve"/>
      </w:r>
    </w:p>
    <w:p>
      <w:pPr>
        <w:pStyle w:val="Heading2"/>
        <w:spacing w:after="120" w:before="240"/>
      </w:pPr>
      <w:r>
        <w:rPr>
          <w:rFonts w:ascii="Arial" w:cs="Arial" w:eastAsia="Arial" w:hAnsi="Arial"/>
          <w:b/>
          <w:bCs/>
          <w:color w:val="1A1A2E"/>
          <w:sz w:val="28"/>
          <w:szCs w:val="28"/>
        </w:rPr>
        <w:t xml:space="preserve">This Week — Before Any Client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580"/>
        <w:gridCol w:w="1620"/>
        <w:gridCol w:w="1620"/>
      </w:tblGrid>
      <w:tr>
        <w:tc>
          <w:tcPr>
            <w:tcW w:type="dxa" w:w="5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5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16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16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Deadline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Designate operative pricing architecture. Archive the other with a clear superseded note.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Founder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Day 1</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Confirm legal review status of MSA, SOW, NDA. Engage counsel if unreviewed.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Founder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Day 2</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Select and activate an e-signature tool. Update contract workflow documentation.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Founder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Day 3</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4</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Create Document Registry: operative version of every active document in one place.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Founder / ARE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Day 5</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5</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Begin Wave 1 agent deployment (Tier 1 supervisor layer). Start with MOA.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Founder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Week 1–4</w:t>
            </w:r>
          </w:p>
        </w:tc>
      </w:tr>
    </w:tbl>
    <w:p>
      <w:pPr>
        <w:spacing w:after="60" w:before="60"/>
      </w:pPr>
      <w:r>
        <w:rPr>
          <w:rFonts w:ascii="Arial" w:cs="Arial" w:eastAsia="Arial" w:hAnsi="Arial"/>
          <w:b w:val="false"/>
          <w:bCs w:val="false"/>
          <w:color w:val="1A1A2E"/>
          <w:sz w:val="20"/>
          <w:szCs w:val="20"/>
        </w:rPr>
        <w:t xml:space="preserve"/>
      </w:r>
    </w:p>
    <w:p>
      <w:pPr>
        <w:pStyle w:val="Heading2"/>
        <w:spacing w:after="120" w:before="240"/>
      </w:pPr>
      <w:r>
        <w:rPr>
          <w:rFonts w:ascii="Arial" w:cs="Arial" w:eastAsia="Arial" w:hAnsi="Arial"/>
          <w:b/>
          <w:bCs/>
          <w:color w:val="1A1A2E"/>
          <w:sz w:val="28"/>
          <w:szCs w:val="28"/>
        </w:rPr>
        <w:t xml:space="preserve">This Month — Before First Client is Onboarded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580"/>
        <w:gridCol w:w="1620"/>
        <w:gridCol w:w="1620"/>
      </w:tblGrid>
      <w:tr>
        <w:tc>
          <w:tcPr>
            <w:tcW w:type="dxa" w:w="5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5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16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16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Deadline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6</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Hire or contract ARE. Non-negotiable for QA layer. Part-time or commission-only acceptable.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Founder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1</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Activate outbound stack: Apollo, Instantly, LinkedIn Navigator. Build ICP contact list (1,000 contacts).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Growth Lead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Week 3</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8</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Select CRM tool and configure intake routing, pipeline stages, and logging fields.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Growth Lead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1</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Create client engagement folder template. Apply to first client immediately upon onboarding.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ARE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1</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10</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Price and scope Discovery Sprint as a standalone line item. Add to Service Pricing Architecture.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Founder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1</w:t>
            </w:r>
          </w:p>
        </w:tc>
      </w:tr>
    </w:tbl>
    <w:p>
      <w:pPr>
        <w:spacing w:after="60" w:before="60"/>
      </w:pPr>
      <w:r>
        <w:rPr>
          <w:rFonts w:ascii="Arial" w:cs="Arial" w:eastAsia="Arial" w:hAnsi="Arial"/>
          <w:b w:val="false"/>
          <w:bCs w:val="false"/>
          <w:color w:val="1A1A2E"/>
          <w:sz w:val="20"/>
          <w:szCs w:val="20"/>
        </w:rPr>
        <w:t xml:space="preserve"/>
      </w:r>
    </w:p>
    <w:p>
      <w:pPr>
        <w:pStyle w:val="Heading2"/>
        <w:spacing w:after="120" w:before="240"/>
      </w:pPr>
      <w:r>
        <w:rPr>
          <w:rFonts w:ascii="Arial" w:cs="Arial" w:eastAsia="Arial" w:hAnsi="Arial"/>
          <w:b/>
          <w:bCs/>
          <w:color w:val="1A1A2E"/>
          <w:sz w:val="28"/>
          <w:szCs w:val="28"/>
        </w:rPr>
        <w:t xml:space="preserve">Month 2–3 — Before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580"/>
        <w:gridCol w:w="1620"/>
        <w:gridCol w:w="1620"/>
      </w:tblGrid>
      <w:tr>
        <w:tc>
          <w:tcPr>
            <w:tcW w:type="dxa" w:w="5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55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16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16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Deadline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11</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Complete Wave 2 agent deployment after Wave 1 exit criteria are met.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Founder + ARE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Weeks 5–8</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12</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Conduct first post-mortem on initial project. Formalize SOP-009.</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ARE + Founder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Post project 1</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13</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Integrate Addendums 20–23 into business plan narrative and appendix table.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Founder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2</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14</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Cross-reference Addendum 22 (AI Platform Tool Stack) into Addendum 14 (AI Architecture).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ARE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2</w:t>
            </w:r>
          </w:p>
        </w:tc>
      </w:tr>
    </w:tbl>
    <w:p>
      <w:pPr>
        <w:spacing w:after="60" w:before="60"/>
      </w:pPr>
      <w:r>
        <w:rPr>
          <w:rFonts w:ascii="Arial" w:cs="Arial" w:eastAsia="Arial" w:hAnsi="Arial"/>
          <w:b w:val="false"/>
          <w:bCs w:val="false"/>
          <w:color w:val="1A1A2E"/>
          <w:sz w:val="20"/>
          <w:szCs w:val="20"/>
        </w:rPr>
        <w:t xml:space="preserve"/>
      </w:r>
    </w:p>
    <w:p>
      <w:r>
        <w:br w:type="page"/>
      </w:r>
    </w:p>
    <w:p>
      <w:pPr>
        <w:pStyle w:val="Heading1"/>
        <w:spacing w:after="160" w:before="360"/>
      </w:pPr>
      <w:r>
        <w:rPr>
          <w:rFonts w:ascii="Arial" w:cs="Arial" w:eastAsia="Arial" w:hAnsi="Arial"/>
          <w:b/>
          <w:bCs/>
          <w:color w:val="0F3460"/>
          <w:sz w:val="36"/>
          <w:szCs w:val="36"/>
        </w:rPr>
        <w:t xml:space="preserve">6. Conclusion</w:t>
      </w:r>
    </w:p>
    <w:p>
      <w:pPr>
        <w:spacing w:after="60" w:before="60"/>
      </w:pPr>
      <w:r>
        <w:rPr>
          <w:rFonts w:ascii="Arial" w:cs="Arial" w:eastAsia="Arial" w:hAnsi="Arial"/>
          <w:b w:val="false"/>
          <w:bCs w:val="false"/>
          <w:color w:val="1A1A2E"/>
          <w:sz w:val="20"/>
          <w:szCs w:val="20"/>
        </w:rPr>
        <w:t xml:space="preserve">NoDrftSystems has a coherent, commercially credible operating system. The AI architecture, legal framework, SOP library, client delivery workflow, and multi-product strategy are all well-constructed. When fully deployed and operating under proper governance, the Centaur Model delivers a real competitive advantage: enterprise-grade output quality at lean team economics.</w:t>
      </w:r>
    </w:p>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The system is not ready to execute client work safely in its current state. Six conditions — pricing ambiguity, unconfirmed legal review, missing e-signature tooling, absent Tier 1 orchestration, vacant ARE role, and no document registry — create risk that exceeds the benefit of moving fast.</w:t>
      </w:r>
    </w:p>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Resolving items 1 through 5 in the Immediate Action Plan takes 3 to 5 business days. These are decisions and activations, not construction projects. Once resolved, the operational infrastructure is ready for first client onboarding.</w:t>
      </w:r>
    </w:p>
    <w:p>
      <w:pPr>
        <w:spacing w:after="60" w:before="60"/>
      </w:pPr>
      <w:r>
        <w:rPr>
          <w:rFonts w:ascii="Arial" w:cs="Arial" w:eastAsia="Arial" w:hAnsi="Arial"/>
          <w:b w:val="false"/>
          <w:bCs w:val="false"/>
          <w:color w:val="1A1A2E"/>
          <w:sz w:val="20"/>
          <w:szCs w:val="20"/>
        </w:rPr>
        <w:t xml:space="preserve"/>
      </w:r>
    </w:p>
    <w:p>
      <w:pPr>
        <w:spacing w:after="60" w:before="60"/>
      </w:pPr>
      <w:r>
        <w:rPr>
          <w:rFonts w:ascii="Arial" w:cs="Arial" w:eastAsia="Arial" w:hAnsi="Arial"/>
          <w:b w:val="false"/>
          <w:bCs w:val="false"/>
          <w:color w:val="1A1A2E"/>
          <w:sz w:val="20"/>
          <w:szCs w:val="20"/>
        </w:rPr>
        <w:t xml:space="preserve">The trajectory of the business depends on two things happening simultaneously: a reliable outbound engine generating qualified pipeline, and a reliable delivery system producing consistent, high-quality output. Both require the infrastructure described in this report to be fully operational. The cost of skipping steps is not slower growth — it is reputational damage that is harder to recover from than a week's delay.</w:t>
      </w:r>
    </w:p>
    <w:p>
      <w:pPr>
        <w:spacing w:after="60" w:before="60"/>
      </w:pPr>
      <w:r>
        <w:rPr>
          <w:rFonts w:ascii="Arial" w:cs="Arial" w:eastAsia="Arial" w:hAnsi="Arial"/>
          <w:b w:val="false"/>
          <w:bCs w:val="false"/>
          <w:color w:val="1A1A2E"/>
          <w:sz w:val="20"/>
          <w:szCs w:val="20"/>
        </w:rPr>
        <w:t xml:space="preserve"/>
      </w:r>
    </w:p>
    <w:p>
      <w:pPr>
        <w:pBdr>
          <w:bottom w:val="single" w:color="D9D9D9" w:sz="4" w:space="1"/>
        </w:pBdr>
        <w:spacing w:after="160" w:before="160"/>
      </w:pPr>
    </w:p>
    <w:p>
      <w:pPr>
        <w:spacing w:after="60" w:before="240"/>
        <w:jc w:val="center"/>
      </w:pPr>
      <w:r>
        <w:rPr>
          <w:rFonts w:ascii="Arial" w:cs="Arial" w:eastAsia="Arial" w:hAnsi="Arial"/>
          <w:b/>
          <w:bCs/>
          <w:color w:val="0F3460"/>
          <w:sz w:val="24"/>
          <w:szCs w:val="24"/>
        </w:rPr>
        <w:t xml:space="preserve">NoDrftSystems</w:t>
      </w:r>
    </w:p>
    <w:p>
      <w:pPr>
        <w:spacing w:after="0" w:before="0"/>
        <w:jc w:val="center"/>
      </w:pPr>
      <w:r>
        <w:rPr>
          <w:rFonts w:ascii="Arial" w:cs="Arial" w:eastAsia="Arial" w:hAnsi="Arial"/>
          <w:i/>
          <w:iCs/>
          <w:color w:val="888888"/>
          <w:sz w:val="18"/>
          <w:szCs w:val="18"/>
        </w:rPr>
        <w:t xml:space="preserve">Zero Drift. Zero Compromise. Built to Last.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NoDrftSystems — Operational System Report  |  April 2026  |  Internal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346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2026-04-14T00:57:00.370Z</dcterms:created>
  <dcterms:modified xsi:type="dcterms:W3CDTF">2026-04-14T00:57:00.371Z</dcterms:modified>
</cp:coreProperties>
</file>

<file path=docProps/custom.xml><?xml version="1.0" encoding="utf-8"?>
<Properties xmlns="http://schemas.openxmlformats.org/officeDocument/2006/custom-properties" xmlns:vt="http://schemas.openxmlformats.org/officeDocument/2006/docPropsVTypes"/>
</file>