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 standalone='yes'?>
<Relationships xmlns="http://schemas.openxmlformats.org/package/2006/relationships"><Relationship Id="Rc1fb46d0af43454e"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w:body>
    <w:p>
      <w:pPr>
        <w:spacing w:before="3600"/>
      </w:pPr>
    </w:p>
    <w:p>
      <w:pPr>
        <w:jc w:val="center"/>
      </w:pPr>
      <w:r>
        <w:rPr>
          <w:b/>
          <w:color w:val="1a365d"/>
          <w:sz w:val="72"/>
        </w:rPr>
        <w:t>NoDrftSystems</w:t>
      </w:r>
    </w:p>
    <w:p>
      <w:pPr>
        <w:spacing w:before="300"/>
        <w:jc w:val="center"/>
      </w:pPr>
      <w:r>
        <w:rPr>
          <w:color w:val="2c5282"/>
          <w:sz w:val="40"/>
        </w:rPr>
        <w:t>Competitor Analysis</w:t>
      </w:r>
    </w:p>
    <w:p>
      <w:pPr>
        <w:spacing w:before="200"/>
        <w:jc w:val="center"/>
      </w:pPr>
      <w:r>
        <w:rPr>
          <w:color w:val="4a5568"/>
          <w:sz w:val="24"/>
        </w:rPr>
        <w:t>Verified Competitive Landscape Assessment</w:t>
      </w:r>
    </w:p>
    <w:p>
      <w:pPr>
        <w:spacing w:before="2400"/>
      </w:pPr>
    </w:p>
    <w:p>
      <w:pPr>
        <w:jc w:val="center"/>
      </w:pPr>
      <w:r>
        <w:rPr>
          <w:color w:val="718096"/>
          <w:sz w:val="22"/>
        </w:rPr>
        <w:t>April 2026</w:t>
      </w:r>
    </w:p>
    <w:p>
      <w:pPr>
        <w:spacing w:before="200"/>
        <w:jc w:val="center"/>
      </w:pPr>
      <w:r>
        <w:rPr>
          <w:color w:val="c05621"/>
          <w:sz w:val="20"/>
        </w:rPr>
        <w:t>Internal Strategic Document</w:t>
      </w:r>
    </w:p>
    <w:p>
      <w:pPr>
        <w:sectPr>
          <w:type w:val="nextPage"/>
          <w:pgSz w:w="11906" w:h="16838"/>
          <w:pgMar w:top="1440" w:right="1440" w:bottom="1440" w:left="1440"/>
        </w:sectPr>
      </w:pPr>
    </w:p>
    <w:p>
      <w:pPr>
        <w:pStyle w:val="Heading1"/>
      </w:pPr>
      <w:r>
        <w:t>Table of Contents</w:t>
      </w:r>
    </w:p>
    <w:p>
      <w:pPr>
        <w:spacing w:after="300"/>
      </w:pPr>
      <w:r>
        <w:rPr>
          <w:color w:val="718096"/>
          <w:sz w:val="18"/>
        </w:rPr>
        <w:t>Right-click and select "Update Field" to refresh page numbers</w:t>
      </w:r>
    </w:p>
    <w:p>
      <w:r>
        <w:fldChar w:fldCharType="begin"/>
      </w:r>
      <w:r>
        <w:instrText xml:space="preserve"> TOC \o "1-3" \h \z \u </w:instrText>
      </w:r>
      <w:r>
        <w:fldChar w:fldCharType="separate"/>
      </w:r>
    </w:p>
    <w:p>
      <w:pPr>
        <w:pStyle w:val="TOC1"/>
      </w:pPr>
      <w:r>
        <w:t>Methodology</w:t>
      </w:r>
      <w:r>
        <w:tab/>
      </w:r>
      <w:r>
        <w:t>3</w:t>
      </w:r>
    </w:p>
    <w:p>
      <w:pPr>
        <w:pStyle w:val="TOC1"/>
      </w:pPr>
      <w:r>
        <w:t>Competitor Identification</w:t>
      </w:r>
      <w:r>
        <w:tab/>
      </w:r>
      <w:r>
        <w:t>4</w:t>
      </w:r>
    </w:p>
    <w:p>
      <w:pPr>
        <w:pStyle w:val="TOC1"/>
      </w:pPr>
      <w:r>
        <w:t>Detailed Analysis</w:t>
      </w:r>
      <w:r>
        <w:tab/>
      </w:r>
      <w:r>
        <w:t>6</w:t>
      </w:r>
    </w:p>
    <w:p>
      <w:pPr>
        <w:pStyle w:val="TOC2"/>
      </w:pPr>
      <w:r>
        <w:t>Flowout</w:t>
      </w:r>
      <w:r>
        <w:tab/>
      </w:r>
      <w:r>
        <w:t>6</w:t>
      </w:r>
    </w:p>
    <w:p>
      <w:pPr>
        <w:pStyle w:val="TOC2"/>
      </w:pPr>
      <w:r>
        <w:t>Eleken</w:t>
      </w:r>
      <w:r>
        <w:tab/>
      </w:r>
      <w:r>
        <w:t>7</w:t>
      </w:r>
    </w:p>
    <w:p>
      <w:pPr>
        <w:pStyle w:val="TOC2"/>
      </w:pPr>
      <w:r>
        <w:t>Designjoy</w:t>
      </w:r>
      <w:r>
        <w:tab/>
      </w:r>
      <w:r>
        <w:t>8</w:t>
      </w:r>
    </w:p>
    <w:p>
      <w:pPr>
        <w:pStyle w:val="TOC2"/>
      </w:pPr>
      <w:r>
        <w:t>Clay</w:t>
      </w:r>
      <w:r>
        <w:tab/>
      </w:r>
      <w:r>
        <w:t>9</w:t>
      </w:r>
    </w:p>
    <w:p>
      <w:pPr>
        <w:pStyle w:val="TOC2"/>
      </w:pPr>
      <w:r>
        <w:t>Digital Silk</w:t>
      </w:r>
      <w:r>
        <w:tab/>
      </w:r>
      <w:r>
        <w:t>10</w:t>
      </w:r>
    </w:p>
    <w:p>
      <w:pPr>
        <w:pStyle w:val="TOC1"/>
      </w:pPr>
      <w:r>
        <w:t>Comparative Matrix</w:t>
      </w:r>
      <w:r>
        <w:tab/>
      </w:r>
      <w:r>
        <w:t>11</w:t>
      </w:r>
    </w:p>
    <w:p>
      <w:pPr>
        <w:pStyle w:val="TOC1"/>
      </w:pPr>
      <w:r>
        <w:t>Positioning Assessment</w:t>
      </w:r>
      <w:r>
        <w:tab/>
      </w:r>
      <w:r>
        <w:t>13</w:t>
      </w:r>
    </w:p>
    <w:p>
      <w:r>
        <w:fldChar w:fldCharType="end"/>
      </w:r>
    </w:p>
    <w:p>
      <w:r>
        <w:br w:type="page"/>
      </w:r>
    </w:p>
    <w:p>
      <w:pPr>
        <w:pStyle w:val="Heading1"/>
      </w:pPr>
      <w:r>
        <w:t>Methodology</w:t>
      </w:r>
    </w:p>
    <w:p>
      <w:pPr>
        <w:pStyle w:val="Heading2"/>
      </w:pPr>
      <w:r>
        <w:t>Research Approach</w:t>
      </w:r>
    </w:p>
    <w:p>
      <w:r>
        <w:t>This analysis follows a fact-strict methodology. Competitors were identified through market research across digital agency directories, industry publications, and direct source verification. All claims are supported by publicly available information from official sources or high-confidence third-party verification (Clutch.co, G2, Trustpilot).</w:t>
      </w:r>
    </w:p>
    <w:p>
      <w:pPr>
        <w:pStyle w:val="Heading2"/>
      </w:pPr>
      <w:r>
        <w:t>Competitor Selection Criteria</w:t>
      </w:r>
    </w:p>
    <w:p>
      <w:pPr>
        <w:numPr>
          <w:ilvl w:val="0"/>
          <w:numId w:val="1"/>
        </w:numPr>
      </w:pPr>
      <w:r>
        <w:t>Operate in the website/digital product development space</w:t>
      </w:r>
    </w:p>
    <w:p>
      <w:pPr>
        <w:numPr>
          <w:ilvl w:val="0"/>
          <w:numId w:val="1"/>
        </w:numPr>
      </w:pPr>
      <w:r>
        <w:t>Serve SMB to mid-market clients (10-500 employees)</w:t>
      </w:r>
    </w:p>
    <w:p>
      <w:pPr>
        <w:numPr>
          <w:ilvl w:val="0"/>
          <w:numId w:val="1"/>
        </w:numPr>
      </w:pPr>
      <w:r>
        <w:t>Offer structured or subscription-based pricing models</w:t>
      </w:r>
    </w:p>
    <w:p>
      <w:pPr>
        <w:numPr>
          <w:ilvl w:val="0"/>
          <w:numId w:val="1"/>
        </w:numPr>
      </w:pPr>
      <w:r>
        <w:t>Position around quality, speed, or process discipline</w:t>
      </w:r>
    </w:p>
    <w:p>
      <w:pPr>
        <w:numPr>
          <w:ilvl w:val="0"/>
          <w:numId w:val="1"/>
        </w:numPr>
      </w:pPr>
      <w:r>
        <w:t>Have verifiable public presence and client portfolio</w:t>
      </w:r>
    </w:p>
    <w:p>
      <w:pPr>
        <w:pStyle w:val="Heading2"/>
      </w:pPr>
      <w:r>
        <w:t>Comparison Dimensions</w:t>
      </w:r>
    </w:p>
    <w:p>
      <w:pPr>
        <w:numPr>
          <w:ilvl w:val="0"/>
          <w:numId w:val="1"/>
        </w:numPr>
      </w:pPr>
      <w:r>
        <w:t>Strategic fit (target market, positioning clarity)</w:t>
      </w:r>
    </w:p>
    <w:p>
      <w:pPr>
        <w:numPr>
          <w:ilvl w:val="0"/>
          <w:numId w:val="1"/>
        </w:numPr>
      </w:pPr>
      <w:r>
        <w:t>Scope breadth (service range, package structure)</w:t>
      </w:r>
    </w:p>
    <w:p>
      <w:pPr>
        <w:numPr>
          <w:ilvl w:val="0"/>
          <w:numId w:val="1"/>
        </w:numPr>
      </w:pPr>
      <w:r>
        <w:t>Delivery rigor (process documentation, quality controls)</w:t>
      </w:r>
    </w:p>
    <w:p>
      <w:pPr>
        <w:numPr>
          <w:ilvl w:val="0"/>
          <w:numId w:val="1"/>
        </w:numPr>
      </w:pPr>
      <w:r>
        <w:t>Design quality posture (portfolio standards, awards)</w:t>
      </w:r>
    </w:p>
    <w:p>
      <w:pPr>
        <w:numPr>
          <w:ilvl w:val="0"/>
          <w:numId w:val="1"/>
        </w:numPr>
      </w:pPr>
      <w:r>
        <w:t>Technical sophistication (platform expertise, integrations)</w:t>
      </w:r>
    </w:p>
    <w:p>
      <w:pPr>
        <w:numPr>
          <w:ilvl w:val="0"/>
          <w:numId w:val="1"/>
        </w:numPr>
      </w:pPr>
      <w:r>
        <w:t>Transparency (pricing visibility, scope clarity)</w:t>
      </w:r>
    </w:p>
    <w:p>
      <w:pPr>
        <w:numPr>
          <w:ilvl w:val="0"/>
          <w:numId w:val="1"/>
        </w:numPr>
      </w:pPr>
      <w:r>
        <w:t>Handover/deployment maturity (documentation, training)</w:t>
      </w:r>
    </w:p>
    <w:p>
      <w:pPr>
        <w:numPr>
          <w:ilvl w:val="0"/>
          <w:numId w:val="1"/>
        </w:numPr>
      </w:pPr>
      <w:r>
        <w:t>Pricing structure (models, predictability)</w:t>
      </w:r>
    </w:p>
    <w:p>
      <w:pPr>
        <w:numPr>
          <w:ilvl w:val="0"/>
          <w:numId w:val="1"/>
        </w:numPr>
      </w:pPr>
      <w:r>
        <w:t>Maintenance model (ongoing support structure)</w:t>
      </w:r>
    </w:p>
    <w:p>
      <w:pPr>
        <w:numPr>
          <w:ilvl w:val="0"/>
          <w:numId w:val="1"/>
        </w:numPr>
      </w:pPr>
      <w:r>
        <w:t>AI/tool-stack maturity (automation, efficiency claims)</w:t>
      </w:r>
    </w:p>
    <w:p>
      <w:pPr>
        <w:pStyle w:val="Heading2"/>
      </w:pPr>
      <w:r>
        <w:t>Limitations</w:t>
      </w:r>
    </w:p>
    <w:p>
      <w:pPr>
        <w:shd w:val="clear" w:fill="fffaf0"/>
        <w:ind w:left="360" w:right="360"/>
      </w:pPr>
      <w:r>
        <w:rPr>
          <w:i/>
          <w:color w:val="c05621"/>
        </w:rPr>
        <w:t>Direct pricing comparison is not always verifiable with available data. Some agencies do not publish pricing, and project quotes vary significantly based on scope. Where pricing cannot be verified, this is explicitly noted.</w:t>
      </w:r>
    </w:p>
    <w:p>
      <w:r>
        <w:br w:type="page"/>
      </w:r>
    </w:p>
    <w:p>
      <w:pPr>
        <w:pStyle w:val="Heading1"/>
      </w:pPr>
      <w:r>
        <w:t>Competitor Identification</w:t>
      </w:r>
    </w:p>
    <w:p>
      <w:pPr>
        <w:pStyle w:val="Heading2"/>
      </w:pPr>
      <w:r>
        <w:t>Primary Competitors</w:t>
      </w:r>
    </w:p>
    <w:p>
      <w:r>
        <w:t>Based on market positioning, service overlap, and target client profile, the following competitors were identified for detailed analysis:</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df2f7"/>
            <w:vAlign w:val="center"/>
          </w:tcPr>
          <w:p>
            <w:pPr>
              <w:jc w:val="left"/>
            </w:pPr>
            <w:r>
              <w:rPr>
                <w:b/>
                <w:color w:val="1a202c"/>
                <w:sz w:val="21"/>
              </w:rPr>
              <w:t>Competitor</w:t>
            </w:r>
          </w:p>
        </w:tc>
        <w:tc>
          <w:tcPr>
            <w:shd w:val="clear" w:fill="edf2f7"/>
            <w:vAlign w:val="center"/>
          </w:tcPr>
          <w:p>
            <w:pPr>
              <w:jc w:val="left"/>
            </w:pPr>
            <w:r>
              <w:rPr>
                <w:b/>
                <w:color w:val="1a202c"/>
                <w:sz w:val="21"/>
              </w:rPr>
              <w:t>Model</w:t>
            </w:r>
          </w:p>
        </w:tc>
        <w:tc>
          <w:tcPr>
            <w:shd w:val="clear" w:fill="edf2f7"/>
            <w:vAlign w:val="center"/>
          </w:tcPr>
          <w:p>
            <w:pPr>
              <w:jc w:val="left"/>
            </w:pPr>
            <w:r>
              <w:rPr>
                <w:b/>
                <w:color w:val="1a202c"/>
                <w:sz w:val="21"/>
              </w:rPr>
              <w:t>Location</w:t>
            </w:r>
          </w:p>
        </w:tc>
        <w:tc>
          <w:tcPr>
            <w:shd w:val="clear" w:fill="edf2f7"/>
            <w:vAlign w:val="center"/>
          </w:tcPr>
          <w:p>
            <w:pPr>
              <w:jc w:val="left"/>
            </w:pPr>
            <w:r>
              <w:rPr>
                <w:b/>
                <w:color w:val="1a202c"/>
                <w:sz w:val="21"/>
              </w:rPr>
              <w:t>Primary Positioning</w:t>
            </w:r>
          </w:p>
        </w:tc>
      </w:tr>
      <w:tr>
        <w:tc>
          <w:tcPr>
            <w:vAlign w:val="center"/>
          </w:tcPr>
          <w:p>
            <w:pPr>
              <w:jc w:val="left"/>
            </w:pPr>
            <w:r>
              <w:rPr>
                <w:color w:val="1a202c"/>
                <w:sz w:val="21"/>
              </w:rPr>
              <w:t>Flowout</w:t>
            </w:r>
          </w:p>
        </w:tc>
        <w:tc>
          <w:tcPr>
            <w:vAlign w:val="center"/>
          </w:tcPr>
          <w:p>
            <w:pPr>
              <w:jc w:val="left"/>
            </w:pPr>
            <w:r>
              <w:rPr>
                <w:color w:val="1a202c"/>
                <w:sz w:val="21"/>
              </w:rPr>
              <w:t>Subscription (Webflow)</w:t>
            </w:r>
          </w:p>
        </w:tc>
        <w:tc>
          <w:tcPr>
            <w:vAlign w:val="center"/>
          </w:tcPr>
          <w:p>
            <w:pPr>
              <w:jc w:val="left"/>
            </w:pPr>
            <w:r>
              <w:rPr>
                <w:color w:val="1a202c"/>
                <w:sz w:val="21"/>
              </w:rPr>
              <w:t>Slovenia/US</w:t>
            </w:r>
          </w:p>
        </w:tc>
        <w:tc>
          <w:tcPr>
            <w:vAlign w:val="center"/>
          </w:tcPr>
          <w:p>
            <w:pPr>
              <w:jc w:val="left"/>
            </w:pPr>
            <w:r>
              <w:rPr>
                <w:color w:val="1a202c"/>
                <w:sz w:val="21"/>
              </w:rPr>
              <w:t>Unlimited Webflow for high-growth SaaS</w:t>
            </w:r>
          </w:p>
        </w:tc>
      </w:tr>
      <w:tr>
        <w:tc>
          <w:tcPr>
            <w:vAlign w:val="center"/>
          </w:tcPr>
          <w:p>
            <w:pPr>
              <w:jc w:val="left"/>
            </w:pPr>
            <w:r>
              <w:rPr>
                <w:color w:val="1a202c"/>
                <w:sz w:val="21"/>
              </w:rPr>
              <w:t>Eleken</w:t>
            </w:r>
          </w:p>
        </w:tc>
        <w:tc>
          <w:tcPr>
            <w:vAlign w:val="center"/>
          </w:tcPr>
          <w:p>
            <w:pPr>
              <w:jc w:val="left"/>
            </w:pPr>
            <w:r>
              <w:rPr>
                <w:color w:val="1a202c"/>
                <w:sz w:val="21"/>
              </w:rPr>
              <w:t>Subscription (Design)</w:t>
            </w:r>
          </w:p>
        </w:tc>
        <w:tc>
          <w:tcPr>
            <w:vAlign w:val="center"/>
          </w:tcPr>
          <w:p>
            <w:pPr>
              <w:jc w:val="left"/>
            </w:pPr>
            <w:r>
              <w:rPr>
                <w:color w:val="1a202c"/>
                <w:sz w:val="21"/>
              </w:rPr>
              <w:t>Ukraine/Canada</w:t>
            </w:r>
          </w:p>
        </w:tc>
        <w:tc>
          <w:tcPr>
            <w:vAlign w:val="center"/>
          </w:tcPr>
          <w:p>
            <w:pPr>
              <w:jc w:val="left"/>
            </w:pPr>
            <w:r>
              <w:rPr>
                <w:color w:val="1a202c"/>
                <w:sz w:val="21"/>
              </w:rPr>
              <w:t>Dedicated SaaS UI/UX designer</w:t>
            </w:r>
          </w:p>
        </w:tc>
      </w:tr>
      <w:tr>
        <w:tc>
          <w:tcPr>
            <w:vAlign w:val="center"/>
          </w:tcPr>
          <w:p>
            <w:pPr>
              <w:jc w:val="left"/>
            </w:pPr>
            <w:r>
              <w:rPr>
                <w:color w:val="1a202c"/>
                <w:sz w:val="21"/>
              </w:rPr>
              <w:t>Designjoy</w:t>
            </w:r>
          </w:p>
        </w:tc>
        <w:tc>
          <w:tcPr>
            <w:vAlign w:val="center"/>
          </w:tcPr>
          <w:p>
            <w:pPr>
              <w:jc w:val="left"/>
            </w:pPr>
            <w:r>
              <w:rPr>
                <w:color w:val="1a202c"/>
                <w:sz w:val="21"/>
              </w:rPr>
              <w:t>Subscription (Design)</w:t>
            </w:r>
          </w:p>
        </w:tc>
        <w:tc>
          <w:tcPr>
            <w:vAlign w:val="center"/>
          </w:tcPr>
          <w:p>
            <w:pPr>
              <w:jc w:val="left"/>
            </w:pPr>
            <w:r>
              <w:rPr>
                <w:color w:val="1a202c"/>
                <w:sz w:val="21"/>
              </w:rPr>
              <w:t>US</w:t>
            </w:r>
          </w:p>
        </w:tc>
        <w:tc>
          <w:tcPr>
            <w:vAlign w:val="center"/>
          </w:tcPr>
          <w:p>
            <w:pPr>
              <w:jc w:val="left"/>
            </w:pPr>
            <w:r>
              <w:rPr>
                <w:color w:val="1a202c"/>
                <w:sz w:val="21"/>
              </w:rPr>
              <w:t>Founder-led unlimited design</w:t>
            </w:r>
          </w:p>
        </w:tc>
      </w:tr>
      <w:tr>
        <w:tc>
          <w:tcPr>
            <w:vAlign w:val="center"/>
          </w:tcPr>
          <w:p>
            <w:pPr>
              <w:jc w:val="left"/>
            </w:pPr>
            <w:r>
              <w:rPr>
                <w:color w:val="1a202c"/>
                <w:sz w:val="21"/>
              </w:rPr>
              <w:t>Clay</w:t>
            </w:r>
          </w:p>
        </w:tc>
        <w:tc>
          <w:tcPr>
            <w:vAlign w:val="center"/>
          </w:tcPr>
          <w:p>
            <w:pPr>
              <w:jc w:val="left"/>
            </w:pPr>
            <w:r>
              <w:rPr>
                <w:color w:val="1a202c"/>
                <w:sz w:val="21"/>
              </w:rPr>
              <w:t>Project-based</w:t>
            </w:r>
          </w:p>
        </w:tc>
        <w:tc>
          <w:tcPr>
            <w:vAlign w:val="center"/>
          </w:tcPr>
          <w:p>
            <w:pPr>
              <w:jc w:val="left"/>
            </w:pPr>
            <w:r>
              <w:rPr>
                <w:color w:val="1a202c"/>
                <w:sz w:val="21"/>
              </w:rPr>
              <w:t>US/Global</w:t>
            </w:r>
          </w:p>
        </w:tc>
        <w:tc>
          <w:tcPr>
            <w:vAlign w:val="center"/>
          </w:tcPr>
          <w:p>
            <w:pPr>
              <w:jc w:val="left"/>
            </w:pPr>
            <w:r>
              <w:rPr>
                <w:color w:val="1a202c"/>
                <w:sz w:val="21"/>
              </w:rPr>
              <w:t>AI-driven digital products</w:t>
            </w:r>
          </w:p>
        </w:tc>
      </w:tr>
      <w:tr>
        <w:tc>
          <w:tcPr>
            <w:vAlign w:val="center"/>
          </w:tcPr>
          <w:p>
            <w:pPr>
              <w:jc w:val="left"/>
            </w:pPr>
            <w:r>
              <w:rPr>
                <w:color w:val="1a202c"/>
                <w:sz w:val="21"/>
              </w:rPr>
              <w:t>Digital Silk</w:t>
            </w:r>
          </w:p>
        </w:tc>
        <w:tc>
          <w:tcPr>
            <w:vAlign w:val="center"/>
          </w:tcPr>
          <w:p>
            <w:pPr>
              <w:jc w:val="left"/>
            </w:pPr>
            <w:r>
              <w:rPr>
                <w:color w:val="1a202c"/>
                <w:sz w:val="21"/>
              </w:rPr>
              <w:t>Project-based</w:t>
            </w:r>
          </w:p>
        </w:tc>
        <w:tc>
          <w:tcPr>
            <w:vAlign w:val="center"/>
          </w:tcPr>
          <w:p>
            <w:pPr>
              <w:jc w:val="left"/>
            </w:pPr>
            <w:r>
              <w:rPr>
                <w:color w:val="1a202c"/>
                <w:sz w:val="21"/>
              </w:rPr>
              <w:t>US</w:t>
            </w:r>
          </w:p>
        </w:tc>
        <w:tc>
          <w:tcPr>
            <w:vAlign w:val="center"/>
          </w:tcPr>
          <w:p>
            <w:pPr>
              <w:jc w:val="left"/>
            </w:pPr>
            <w:r>
              <w:rPr>
                <w:color w:val="1a202c"/>
                <w:sz w:val="21"/>
              </w:rPr>
              <w:t>Enterprise digital agency</w:t>
            </w:r>
          </w:p>
        </w:tc>
      </w:tr>
    </w:tbl>
    <w:p>
      <w:pPr>
        <w:pStyle w:val="Heading2"/>
      </w:pPr>
      <w:r>
        <w:t>Competitive Category Map</w:t>
      </w:r>
    </w:p>
    <w:p>
      <w:pPr>
        <w:pStyle w:val="Heading3"/>
      </w:pPr>
      <w:r>
        <w:t>Subscription-Based Models</w:t>
      </w:r>
    </w:p>
    <w:p>
      <w:r>
        <w:t>Flowout, Eleken, and Designjoy operate on subscription models with predictable monthly pricing. This category is growing rapidly as clients seek budget predictability over traditional project-based billing.</w:t>
      </w:r>
    </w:p>
    <w:p>
      <w:pPr>
        <w:pStyle w:val="Heading3"/>
      </w:pPr>
      <w:r>
        <w:t>Project-Based Models</w:t>
      </w:r>
    </w:p>
    <w:p>
      <w:r>
        <w:t>Clay and Digital Silk represent traditional agency models with project-based pricing. These firms typically serve larger engagements with custom scope and higher price points.</w:t>
      </w:r>
    </w:p>
    <w:p>
      <w:pPr>
        <w:pStyle w:val="Heading2"/>
      </w:pPr>
      <w:r>
        <w:t>Data Sources</w:t>
      </w:r>
    </w:p>
    <w:p>
      <w:pPr>
        <w:numPr>
          <w:ilvl w:val="0"/>
          <w:numId w:val="1"/>
        </w:numPr>
      </w:pPr>
      <w:r>
        <w:t>Official websites (pricing pages, service descriptions)</w:t>
      </w:r>
    </w:p>
    <w:p>
      <w:pPr>
        <w:numPr>
          <w:ilvl w:val="0"/>
          <w:numId w:val="1"/>
        </w:numPr>
      </w:pPr>
      <w:r>
        <w:t>Clutch.co verified reviews and project data</w:t>
      </w:r>
    </w:p>
    <w:p>
      <w:pPr>
        <w:numPr>
          <w:ilvl w:val="0"/>
          <w:numId w:val="1"/>
        </w:numPr>
      </w:pPr>
      <w:r>
        <w:t>G2 and Trustpilot ratings</w:t>
      </w:r>
    </w:p>
    <w:p>
      <w:pPr>
        <w:numPr>
          <w:ilvl w:val="0"/>
          <w:numId w:val="1"/>
        </w:numPr>
      </w:pPr>
      <w:r>
        <w:t>Industry publications and agency directories</w:t>
      </w:r>
    </w:p>
    <w:p>
      <w:pPr>
        <w:numPr>
          <w:ilvl w:val="0"/>
          <w:numId w:val="1"/>
        </w:numPr>
      </w:pPr>
      <w:r>
        <w:t>Public case studies and portfolio documentation</w:t>
      </w:r>
    </w:p>
    <w:p>
      <w:r>
        <w:br w:type="page"/>
      </w:r>
    </w:p>
    <w:p>
      <w:pPr>
        <w:pStyle w:val="Heading1"/>
      </w:pPr>
      <w:r>
        <w:t>Detailed Analysis</w:t>
      </w:r>
    </w:p>
    <w:p>
      <w:pPr>
        <w:pStyle w:val="Heading2"/>
      </w:pPr>
      <w:r>
        <w:t>Flowout</w:t>
      </w:r>
    </w:p>
    <w:p>
      <w:r>
        <w:rPr>
          <w:b/>
        </w:rPr>
        <w:t>Website: </w:t>
      </w:r>
      <w:r>
        <w:t>flowout.com</w:t>
      </w:r>
    </w:p>
    <w:p>
      <w:r>
        <w:rPr>
          <w:b/>
        </w:rPr>
        <w:t>Model: </w:t>
      </w:r>
      <w:r>
        <w:t>Subscription-based Webflow agency</w:t>
      </w:r>
    </w:p>
    <w:p>
      <w:r>
        <w:rPr>
          <w:b/>
        </w:rPr>
        <w:t>Location: </w:t>
      </w:r>
      <w:r>
        <w:t>Slovenia with US entity</w:t>
      </w:r>
    </w:p>
    <w:p>
      <w:pPr>
        <w:pStyle w:val="Heading3"/>
      </w:pPr>
      <w:r>
        <w:t>Verified Pricing</w:t>
      </w:r>
    </w:p>
    <w:p>
      <w:pPr>
        <w:numPr>
          <w:ilvl w:val="0"/>
          <w:numId w:val="1"/>
        </w:numPr>
      </w:pPr>
      <w:r>
        <w:t>Development + Design + Copywriting: $9,900/month</w:t>
      </w:r>
    </w:p>
    <w:p>
      <w:pPr>
        <w:numPr>
          <w:ilvl w:val="0"/>
          <w:numId w:val="1"/>
        </w:numPr>
      </w:pPr>
      <w:r>
        <w:t>Development + Design: $7,900/month</w:t>
      </w:r>
    </w:p>
    <w:p>
      <w:pPr>
        <w:numPr>
          <w:ilvl w:val="0"/>
          <w:numId w:val="1"/>
        </w:numPr>
      </w:pPr>
      <w:r>
        <w:t>Development only: $5,900/month</w:t>
      </w:r>
    </w:p>
    <w:p>
      <w:pPr>
        <w:numPr>
          <w:ilvl w:val="0"/>
          <w:numId w:val="1"/>
        </w:numPr>
      </w:pPr>
      <w:r>
        <w:t>Hourly packages: From $2,500</w:t>
      </w:r>
    </w:p>
    <w:p>
      <w:pPr>
        <w:numPr>
          <w:ilvl w:val="0"/>
          <w:numId w:val="1"/>
        </w:numPr>
      </w:pPr>
      <w:r>
        <w:t>Cancel anytime, no fixed contracts</w:t>
      </w:r>
    </w:p>
    <w:p>
      <w:pPr>
        <w:pStyle w:val="Heading3"/>
      </w:pPr>
      <w:r>
        <w:t>Positioning</w:t>
      </w:r>
    </w:p>
    <w:p>
      <w:r>
        <w:t>Flowout positions as a Webflow Enterprise Partner serving high-growth SaaS and AI companies. Notable clients include Jasper (AI unicorn), Stripe, Kajabi, Sequoia Capital, and ActiveCampaign. Their key differentiator is transparent published pricing combined with subscription flexibility.</w:t>
      </w:r>
    </w:p>
    <w:p>
      <w:pPr>
        <w:pStyle w:val="Heading3"/>
      </w:pPr>
      <w:r>
        <w:t>Service Scope</w:t>
      </w:r>
    </w:p>
    <w:p>
      <w:pPr>
        <w:numPr>
          <w:ilvl w:val="0"/>
          <w:numId w:val="1"/>
        </w:numPr>
      </w:pPr>
      <w:r>
        <w:t>Webflow development (full builds, CMS, interactions)</w:t>
      </w:r>
    </w:p>
    <w:p>
      <w:pPr>
        <w:numPr>
          <w:ilvl w:val="0"/>
          <w:numId w:val="1"/>
        </w:numPr>
      </w:pPr>
      <w:r>
        <w:t>UX/UI design</w:t>
      </w:r>
    </w:p>
    <w:p>
      <w:pPr>
        <w:numPr>
          <w:ilvl w:val="0"/>
          <w:numId w:val="1"/>
        </w:numPr>
      </w:pPr>
      <w:r>
        <w:t>Custom development (API integrations, JavaScript)</w:t>
      </w:r>
    </w:p>
    <w:p>
      <w:pPr>
        <w:numPr>
          <w:ilvl w:val="0"/>
          <w:numId w:val="1"/>
        </w:numPr>
      </w:pPr>
      <w:r>
        <w:t>Copywriting (SEO-ready)</w:t>
      </w:r>
    </w:p>
    <w:p>
      <w:pPr>
        <w:numPr>
          <w:ilvl w:val="0"/>
          <w:numId w:val="1"/>
        </w:numPr>
      </w:pPr>
      <w:r>
        <w:t>Project management</w:t>
      </w:r>
    </w:p>
    <w:p>
      <w:pPr>
        <w:numPr>
          <w:ilvl w:val="0"/>
          <w:numId w:val="1"/>
        </w:numPr>
      </w:pPr>
      <w:r>
        <w:t>Training and support</w:t>
      </w:r>
    </w:p>
    <w:p>
      <w:pPr>
        <w:pStyle w:val="Heading3"/>
      </w:pPr>
      <w:r>
        <w:t>Strengths (Verified)</w:t>
      </w:r>
    </w:p>
    <w:p>
      <w:pPr>
        <w:numPr>
          <w:ilvl w:val="0"/>
          <w:numId w:val="1"/>
        </w:numPr>
      </w:pPr>
      <w:r>
        <w:t>Transparent published pricing (rare in agency space)</w:t>
      </w:r>
    </w:p>
    <w:p>
      <w:pPr>
        <w:numPr>
          <w:ilvl w:val="0"/>
          <w:numId w:val="1"/>
        </w:numPr>
      </w:pPr>
      <w:r>
        <w:t>Webflow Enterprise Partner status</w:t>
      </w:r>
    </w:p>
    <w:p>
      <w:pPr>
        <w:numPr>
          <w:ilvl w:val="0"/>
          <w:numId w:val="1"/>
        </w:numPr>
      </w:pPr>
      <w:r>
        <w:t>Strong client roster (Stripe, Sequoia Capital)</w:t>
      </w:r>
    </w:p>
    <w:p>
      <w:pPr>
        <w:numPr>
          <w:ilvl w:val="0"/>
          <w:numId w:val="1"/>
        </w:numPr>
      </w:pPr>
      <w:r>
        <w:t>50+ full-time team members</w:t>
      </w:r>
    </w:p>
    <w:p>
      <w:pPr>
        <w:numPr>
          <w:ilvl w:val="0"/>
          <w:numId w:val="1"/>
        </w:numPr>
      </w:pPr>
      <w:r>
        <w:t>Clutch rating: 4.9/5 (44 reviews)</w:t>
      </w:r>
    </w:p>
    <w:p>
      <w:pPr>
        <w:pStyle w:val="Heading3"/>
      </w:pPr>
      <w:r>
        <w:t>Limitations (Observed)</w:t>
      </w:r>
    </w:p>
    <w:p>
      <w:pPr>
        <w:numPr>
          <w:ilvl w:val="0"/>
          <w:numId w:val="1"/>
        </w:numPr>
      </w:pPr>
      <w:r>
        <w:t>Webflow-only (no custom development outside platform)</w:t>
      </w:r>
    </w:p>
    <w:p>
      <w:pPr>
        <w:numPr>
          <w:ilvl w:val="0"/>
          <w:numId w:val="1"/>
        </w:numPr>
      </w:pPr>
      <w:r>
        <w:t>Subscription model poor fit for one-time projects</w:t>
      </w:r>
    </w:p>
    <w:p>
      <w:pPr>
        <w:numPr>
          <w:ilvl w:val="0"/>
          <w:numId w:val="1"/>
        </w:numPr>
      </w:pPr>
      <w:r>
        <w:t>Production-oriented, less brand strategy focus</w:t>
      </w:r>
    </w:p>
    <w:p>
      <w:pPr>
        <w:pStyle w:val="Heading2"/>
      </w:pPr>
      <w:r>
        <w:t>Eleken</w:t>
      </w:r>
    </w:p>
    <w:p>
      <w:r>
        <w:rPr>
          <w:b/>
        </w:rPr>
        <w:t>Website: </w:t>
      </w:r>
      <w:r>
        <w:t>eleken.co</w:t>
      </w:r>
    </w:p>
    <w:p>
      <w:r>
        <w:rPr>
          <w:b/>
        </w:rPr>
        <w:t>Model: </w:t>
      </w:r>
      <w:r>
        <w:t>Subscription-based SaaS design</w:t>
      </w:r>
    </w:p>
    <w:p>
      <w:r>
        <w:rPr>
          <w:b/>
        </w:rPr>
        <w:t>Location: </w:t>
      </w:r>
      <w:r>
        <w:t>Ukraine/Canada</w:t>
      </w:r>
    </w:p>
    <w:p>
      <w:pPr>
        <w:pStyle w:val="Heading3"/>
      </w:pPr>
      <w:r>
        <w:t>Verified Pricing</w:t>
      </w:r>
    </w:p>
    <w:p>
      <w:pPr>
        <w:numPr>
          <w:ilvl w:val="0"/>
          <w:numId w:val="1"/>
        </w:numPr>
      </w:pPr>
      <w:r>
        <w:t>Subscription: From $3,799/month (per Clutch)</w:t>
      </w:r>
    </w:p>
    <w:p>
      <w:pPr>
        <w:numPr>
          <w:ilvl w:val="0"/>
          <w:numId w:val="1"/>
        </w:numPr>
      </w:pPr>
      <w:r>
        <w:t>Hourly rate: $25-49/hour</w:t>
      </w:r>
    </w:p>
    <w:p>
      <w:pPr>
        <w:numPr>
          <w:ilvl w:val="0"/>
          <w:numId w:val="1"/>
        </w:numPr>
      </w:pPr>
      <w:r>
        <w:t>Minimum project: $10,000+</w:t>
      </w:r>
    </w:p>
    <w:p>
      <w:pPr>
        <w:numPr>
          <w:ilvl w:val="0"/>
          <w:numId w:val="1"/>
        </w:numPr>
      </w:pPr>
      <w:r>
        <w:t>3-day free trial offered</w:t>
      </w:r>
    </w:p>
    <w:p>
      <w:pPr>
        <w:pStyle w:val="Heading3"/>
      </w:pPr>
      <w:r>
        <w:t>Positioning</w:t>
      </w:r>
    </w:p>
    <w:p>
      <w:r>
        <w:t>Eleken positions as a SaaS-focused design partner that embeds designers directly into client teams. Their model is described as 'like hiring a senior in-house designer remotely.' They emphasize speed, direct communication (no project managers), and SaaS-specific expertise.</w:t>
      </w:r>
    </w:p>
    <w:p>
      <w:pPr>
        <w:pStyle w:val="Heading3"/>
      </w:pPr>
      <w:r>
        <w:t>Service Scope</w:t>
      </w:r>
    </w:p>
    <w:p>
      <w:pPr>
        <w:numPr>
          <w:ilvl w:val="0"/>
          <w:numId w:val="1"/>
        </w:numPr>
      </w:pPr>
      <w:r>
        <w:t>UI/UX design for SaaS</w:t>
      </w:r>
    </w:p>
    <w:p>
      <w:pPr>
        <w:numPr>
          <w:ilvl w:val="0"/>
          <w:numId w:val="1"/>
        </w:numPr>
      </w:pPr>
      <w:r>
        <w:t>Data visualization</w:t>
      </w:r>
    </w:p>
    <w:p>
      <w:pPr>
        <w:numPr>
          <w:ilvl w:val="0"/>
          <w:numId w:val="1"/>
        </w:numPr>
      </w:pPr>
      <w:r>
        <w:t>MVP design</w:t>
      </w:r>
    </w:p>
    <w:p>
      <w:pPr>
        <w:numPr>
          <w:ilvl w:val="0"/>
          <w:numId w:val="1"/>
        </w:numPr>
      </w:pPr>
      <w:r>
        <w:t>UX audits</w:t>
      </w:r>
    </w:p>
    <w:p>
      <w:pPr>
        <w:pStyle w:val="Heading3"/>
      </w:pPr>
      <w:r>
        <w:t>Strengths (Verified)</w:t>
      </w:r>
    </w:p>
    <w:p>
      <w:pPr>
        <w:numPr>
          <w:ilvl w:val="0"/>
          <w:numId w:val="1"/>
        </w:numPr>
      </w:pPr>
      <w:r>
        <w:t>SaaS-specialized (200+ projects)</w:t>
      </w:r>
    </w:p>
    <w:p>
      <w:pPr>
        <w:numPr>
          <w:ilvl w:val="0"/>
          <w:numId w:val="1"/>
        </w:numPr>
      </w:pPr>
      <w:r>
        <w:t>3-day free trial (rare in industry)</w:t>
      </w:r>
    </w:p>
    <w:p>
      <w:pPr>
        <w:numPr>
          <w:ilvl w:val="0"/>
          <w:numId w:val="1"/>
        </w:numPr>
      </w:pPr>
      <w:r>
        <w:t>Direct designer communication</w:t>
      </w:r>
    </w:p>
    <w:p>
      <w:pPr>
        <w:numPr>
          <w:ilvl w:val="0"/>
          <w:numId w:val="1"/>
        </w:numPr>
      </w:pPr>
      <w:r>
        <w:t>100+ employees</w:t>
      </w:r>
    </w:p>
    <w:p>
      <w:pPr>
        <w:numPr>
          <w:ilvl w:val="0"/>
          <w:numId w:val="1"/>
        </w:numPr>
      </w:pPr>
      <w:r>
        <w:t>Clutch rating: 4.9/5 (122 reviews)</w:t>
      </w:r>
    </w:p>
    <w:p>
      <w:pPr>
        <w:pStyle w:val="Heading3"/>
      </w:pPr>
      <w:r>
        <w:t>Limitations (Observed)</w:t>
      </w:r>
    </w:p>
    <w:p>
      <w:pPr>
        <w:numPr>
          <w:ilvl w:val="0"/>
          <w:numId w:val="1"/>
        </w:numPr>
      </w:pPr>
      <w:r>
        <w:t>Design-only (no development)</w:t>
      </w:r>
    </w:p>
    <w:p>
      <w:pPr>
        <w:numPr>
          <w:ilvl w:val="0"/>
          <w:numId w:val="1"/>
        </w:numPr>
      </w:pPr>
      <w:r>
        <w:t>Ukraine-based (timezone considerations for US clients)</w:t>
      </w:r>
    </w:p>
    <w:p>
      <w:pPr>
        <w:numPr>
          <w:ilvl w:val="0"/>
          <w:numId w:val="1"/>
        </w:numPr>
      </w:pPr>
      <w:r>
        <w:t>Requires continuous work to justify subscription</w:t>
      </w:r>
    </w:p>
    <w:p>
      <w:pPr>
        <w:pStyle w:val="Heading2"/>
      </w:pPr>
      <w:r>
        <w:t>Designjoy</w:t>
      </w:r>
    </w:p>
    <w:p>
      <w:r>
        <w:rPr>
          <w:b/>
        </w:rPr>
        <w:t>Website: </w:t>
      </w:r>
      <w:r>
        <w:t>designjoy.co</w:t>
      </w:r>
    </w:p>
    <w:p>
      <w:r>
        <w:rPr>
          <w:b/>
        </w:rPr>
        <w:t>Model: </w:t>
      </w:r>
      <w:r>
        <w:t>Subscription-based design (founder-led)</w:t>
      </w:r>
    </w:p>
    <w:p>
      <w:r>
        <w:rPr>
          <w:b/>
        </w:rPr>
        <w:t>Location: </w:t>
      </w:r>
      <w:r>
        <w:t>US</w:t>
      </w:r>
    </w:p>
    <w:p>
      <w:pPr>
        <w:pStyle w:val="Heading3"/>
      </w:pPr>
      <w:r>
        <w:t>Verified Pricing</w:t>
      </w:r>
    </w:p>
    <w:p>
      <w:pPr>
        <w:numPr>
          <w:ilvl w:val="0"/>
          <w:numId w:val="1"/>
        </w:numPr>
      </w:pPr>
      <w:r>
        <w:t>Standard: $5,995/month</w:t>
      </w:r>
    </w:p>
    <w:p>
      <w:pPr>
        <w:numPr>
          <w:ilvl w:val="0"/>
          <w:numId w:val="1"/>
        </w:numPr>
      </w:pPr>
      <w:r>
        <w:t>Pause or cancel anytime</w:t>
      </w:r>
    </w:p>
    <w:p>
      <w:pPr>
        <w:numPr>
          <w:ilvl w:val="0"/>
          <w:numId w:val="1"/>
        </w:numPr>
      </w:pPr>
      <w:r>
        <w:t>Average delivery: 48 hours</w:t>
      </w:r>
    </w:p>
    <w:p>
      <w:pPr>
        <w:pStyle w:val="Heading3"/>
      </w:pPr>
      <w:r>
        <w:t>Positioning</w:t>
      </w:r>
    </w:p>
    <w:p>
      <w:r>
        <w:t>Designjoy is a pioneer of the design subscription model (founded 2017). Run entirely by founder Brett Williams, it offers unlimited design requests across a broad range of categories. Positioned as premium alternative to traditional agencies with direct founder service.</w:t>
      </w:r>
    </w:p>
    <w:p>
      <w:pPr>
        <w:pStyle w:val="Heading3"/>
      </w:pPr>
      <w:r>
        <w:t>Service Scope</w:t>
      </w:r>
    </w:p>
    <w:p>
      <w:pPr>
        <w:numPr>
          <w:ilvl w:val="0"/>
          <w:numId w:val="1"/>
        </w:numPr>
      </w:pPr>
      <w:r>
        <w:t>Graphic design</w:t>
      </w:r>
    </w:p>
    <w:p>
      <w:pPr>
        <w:numPr>
          <w:ilvl w:val="0"/>
          <w:numId w:val="1"/>
        </w:numPr>
      </w:pPr>
      <w:r>
        <w:t>Webflow development</w:t>
      </w:r>
    </w:p>
    <w:p>
      <w:pPr>
        <w:numPr>
          <w:ilvl w:val="0"/>
          <w:numId w:val="1"/>
        </w:numPr>
      </w:pPr>
      <w:r>
        <w:t>Branding</w:t>
      </w:r>
    </w:p>
    <w:p>
      <w:pPr>
        <w:numPr>
          <w:ilvl w:val="0"/>
          <w:numId w:val="1"/>
        </w:numPr>
      </w:pPr>
      <w:r>
        <w:t>UI/UX</w:t>
      </w:r>
    </w:p>
    <w:p>
      <w:pPr>
        <w:numPr>
          <w:ilvl w:val="0"/>
          <w:numId w:val="1"/>
        </w:numPr>
      </w:pPr>
      <w:r>
        <w:t>Print, packaging, presentations</w:t>
      </w:r>
    </w:p>
    <w:p>
      <w:pPr>
        <w:pStyle w:val="Heading3"/>
      </w:pPr>
      <w:r>
        <w:t>Strengths (Verified)</w:t>
      </w:r>
    </w:p>
    <w:p>
      <w:pPr>
        <w:numPr>
          <w:ilvl w:val="0"/>
          <w:numId w:val="1"/>
        </w:numPr>
      </w:pPr>
      <w:r>
        <w:t>Pioneer of subscription model</w:t>
      </w:r>
    </w:p>
    <w:p>
      <w:pPr>
        <w:numPr>
          <w:ilvl w:val="0"/>
          <w:numId w:val="1"/>
        </w:numPr>
      </w:pPr>
      <w:r>
        <w:t>No outsourcing (founder-led)</w:t>
      </w:r>
    </w:p>
    <w:p>
      <w:pPr>
        <w:numPr>
          <w:ilvl w:val="0"/>
          <w:numId w:val="1"/>
        </w:numPr>
      </w:pPr>
      <w:r>
        <w:t>Broad service range</w:t>
      </w:r>
    </w:p>
    <w:p>
      <w:pPr>
        <w:numPr>
          <w:ilvl w:val="0"/>
          <w:numId w:val="1"/>
        </w:numPr>
      </w:pPr>
      <w:r>
        <w:t>Notable clients: Kevin O'Leary, Buy Me A Coffee</w:t>
      </w:r>
    </w:p>
    <w:p>
      <w:pPr>
        <w:pStyle w:val="Heading3"/>
      </w:pPr>
      <w:r>
        <w:t>Limitations (Observed)</w:t>
      </w:r>
    </w:p>
    <w:p>
      <w:pPr>
        <w:numPr>
          <w:ilvl w:val="0"/>
          <w:numId w:val="1"/>
        </w:numPr>
      </w:pPr>
      <w:r>
        <w:t>Single designer capacity</w:t>
      </w:r>
    </w:p>
    <w:p>
      <w:pPr>
        <w:numPr>
          <w:ilvl w:val="0"/>
          <w:numId w:val="1"/>
        </w:numPr>
      </w:pPr>
      <w:r>
        <w:t>High entry cost for small teams</w:t>
      </w:r>
    </w:p>
    <w:p>
      <w:pPr>
        <w:numPr>
          <w:ilvl w:val="0"/>
          <w:numId w:val="1"/>
        </w:numPr>
      </w:pPr>
      <w:r>
        <w:t>Limited user seats (2 per subscription)</w:t>
      </w:r>
    </w:p>
    <w:p>
      <w:pPr>
        <w:pStyle w:val="Heading2"/>
      </w:pPr>
      <w:r>
        <w:t>Clay</w:t>
      </w:r>
    </w:p>
    <w:p>
      <w:r>
        <w:rPr>
          <w:b/>
        </w:rPr>
        <w:t>Website: </w:t>
      </w:r>
      <w:r>
        <w:t>clay.global</w:t>
      </w:r>
    </w:p>
    <w:p>
      <w:r>
        <w:rPr>
          <w:b/>
        </w:rPr>
        <w:t>Model: </w:t>
      </w:r>
      <w:r>
        <w:t>Project-based digital agency</w:t>
      </w:r>
    </w:p>
    <w:p>
      <w:r>
        <w:rPr>
          <w:b/>
        </w:rPr>
        <w:t>Location: </w:t>
      </w:r>
      <w:r>
        <w:t>US/Global (SF, NY, Austin, Denver, Lisbon, Belgrade)</w:t>
      </w:r>
    </w:p>
    <w:p>
      <w:pPr>
        <w:pStyle w:val="Heading3"/>
      </w:pPr>
      <w:r>
        <w:t>Verified Pricing</w:t>
      </w:r>
    </w:p>
    <w:p>
      <w:pPr>
        <w:numPr>
          <w:ilvl w:val="0"/>
          <w:numId w:val="1"/>
        </w:numPr>
      </w:pPr>
      <w:r>
        <w:t>Hourly rate: $150-199/hour</w:t>
      </w:r>
    </w:p>
    <w:p>
      <w:pPr>
        <w:numPr>
          <w:ilvl w:val="0"/>
          <w:numId w:val="1"/>
        </w:numPr>
      </w:pPr>
      <w:r>
        <w:t>Project minimum: $50,000+</w:t>
      </w:r>
    </w:p>
    <w:p>
      <w:pPr>
        <w:numPr>
          <w:ilvl w:val="0"/>
          <w:numId w:val="1"/>
        </w:numPr>
      </w:pPr>
      <w:r>
        <w:t>Flexible engagement models (time &amp; materials, fixed-fee, retainer)</w:t>
      </w:r>
    </w:p>
    <w:p>
      <w:pPr>
        <w:pStyle w:val="Heading3"/>
      </w:pPr>
      <w:r>
        <w:t>Positioning</w:t>
      </w:r>
    </w:p>
    <w:p>
      <w:r>
        <w:t>Clay positions as a global UX design and branding agency specializing in AI-driven digital products. Notable clients include Meta, Google, and Uber. They emphasize AI integration, scalable design systems, and enterprise-grade delivery.</w:t>
      </w:r>
    </w:p>
    <w:p>
      <w:pPr>
        <w:pStyle w:val="Heading3"/>
      </w:pPr>
      <w:r>
        <w:t>Service Scope</w:t>
      </w:r>
    </w:p>
    <w:p>
      <w:pPr>
        <w:numPr>
          <w:ilvl w:val="0"/>
          <w:numId w:val="1"/>
        </w:numPr>
      </w:pPr>
      <w:r>
        <w:t>Custom web design</w:t>
      </w:r>
    </w:p>
    <w:p>
      <w:pPr>
        <w:numPr>
          <w:ilvl w:val="0"/>
          <w:numId w:val="1"/>
        </w:numPr>
      </w:pPr>
      <w:r>
        <w:t>Branding and content creation</w:t>
      </w:r>
    </w:p>
    <w:p>
      <w:pPr>
        <w:numPr>
          <w:ilvl w:val="0"/>
          <w:numId w:val="1"/>
        </w:numPr>
      </w:pPr>
      <w:r>
        <w:t>AI-driven product design</w:t>
      </w:r>
    </w:p>
    <w:p>
      <w:pPr>
        <w:numPr>
          <w:ilvl w:val="0"/>
          <w:numId w:val="1"/>
        </w:numPr>
      </w:pPr>
      <w:r>
        <w:t>2D/3D graphics and animation</w:t>
      </w:r>
    </w:p>
    <w:p>
      <w:pPr>
        <w:pStyle w:val="Heading3"/>
      </w:pPr>
      <w:r>
        <w:t>Strengths (Verified)</w:t>
      </w:r>
    </w:p>
    <w:p>
      <w:pPr>
        <w:numPr>
          <w:ilvl w:val="0"/>
          <w:numId w:val="1"/>
        </w:numPr>
      </w:pPr>
      <w:r>
        <w:t>Tier-1 client roster (Meta, Google, Uber)</w:t>
      </w:r>
    </w:p>
    <w:p>
      <w:pPr>
        <w:numPr>
          <w:ilvl w:val="0"/>
          <w:numId w:val="1"/>
        </w:numPr>
      </w:pPr>
      <w:r>
        <w:t>AI integration expertise</w:t>
      </w:r>
    </w:p>
    <w:p>
      <w:pPr>
        <w:numPr>
          <w:ilvl w:val="0"/>
          <w:numId w:val="1"/>
        </w:numPr>
      </w:pPr>
      <w:r>
        <w:t>Global team across 6 offices</w:t>
      </w:r>
    </w:p>
    <w:p>
      <w:pPr>
        <w:numPr>
          <w:ilvl w:val="0"/>
          <w:numId w:val="1"/>
        </w:numPr>
      </w:pPr>
      <w:r>
        <w:t>Clutch rating: 4.5/5</w:t>
      </w:r>
    </w:p>
    <w:p>
      <w:pPr>
        <w:pStyle w:val="Heading3"/>
      </w:pPr>
      <w:r>
        <w:t>Limitations (Observed)</w:t>
      </w:r>
    </w:p>
    <w:p>
      <w:pPr>
        <w:numPr>
          <w:ilvl w:val="0"/>
          <w:numId w:val="1"/>
        </w:numPr>
      </w:pPr>
      <w:r>
        <w:t>High cost structure</w:t>
      </w:r>
    </w:p>
    <w:p>
      <w:pPr>
        <w:numPr>
          <w:ilvl w:val="0"/>
          <w:numId w:val="1"/>
        </w:numPr>
      </w:pPr>
      <w:r>
        <w:t>Less suitable for small projects</w:t>
      </w:r>
    </w:p>
    <w:p>
      <w:pPr>
        <w:numPr>
          <w:ilvl w:val="0"/>
          <w:numId w:val="1"/>
        </w:numPr>
      </w:pPr>
      <w:r>
        <w:t>No transparent pricing</w:t>
      </w:r>
    </w:p>
    <w:p>
      <w:pPr>
        <w:pStyle w:val="Heading2"/>
      </w:pPr>
      <w:r>
        <w:t>Digital Silk</w:t>
      </w:r>
    </w:p>
    <w:p>
      <w:r>
        <w:rPr>
          <w:b/>
        </w:rPr>
        <w:t>Website: </w:t>
      </w:r>
      <w:r>
        <w:t>digitalsilk.com</w:t>
      </w:r>
    </w:p>
    <w:p>
      <w:r>
        <w:rPr>
          <w:b/>
        </w:rPr>
        <w:t>Model: </w:t>
      </w:r>
      <w:r>
        <w:t>Project-based digital agency</w:t>
      </w:r>
    </w:p>
    <w:p>
      <w:r>
        <w:rPr>
          <w:b/>
        </w:rPr>
        <w:t>Location: </w:t>
      </w:r>
      <w:r>
        <w:t>New York, Miami</w:t>
      </w:r>
    </w:p>
    <w:p>
      <w:pPr>
        <w:pStyle w:val="Heading3"/>
      </w:pPr>
      <w:r>
        <w:t>Verified Pricing</w:t>
      </w:r>
    </w:p>
    <w:p>
      <w:pPr>
        <w:numPr>
          <w:ilvl w:val="0"/>
          <w:numId w:val="1"/>
        </w:numPr>
      </w:pPr>
      <w:r>
        <w:t>Starting range: $7,500+ for custom builds</w:t>
      </w:r>
    </w:p>
    <w:p>
      <w:pPr>
        <w:numPr>
          <w:ilvl w:val="0"/>
          <w:numId w:val="1"/>
        </w:numPr>
      </w:pPr>
      <w:r>
        <w:t>Premium service for high-growth brands</w:t>
      </w:r>
    </w:p>
    <w:p>
      <w:pPr>
        <w:numPr>
          <w:ilvl w:val="0"/>
          <w:numId w:val="1"/>
        </w:numPr>
      </w:pPr>
      <w:r>
        <w:t>Direct pricing comparison not verifiable with available data</w:t>
      </w:r>
    </w:p>
    <w:p>
      <w:pPr>
        <w:pStyle w:val="Heading3"/>
      </w:pPr>
      <w:r>
        <w:t>Positioning</w:t>
      </w:r>
    </w:p>
    <w:p>
      <w:r>
        <w:t>Digital Silk positions as a digital agency blending strategy with style for enterprise brands. Notable clients include SONY, Amazon, Microsoft, and Xerox. They emphasize high-concept creativity meeting buttoned-up execution.</w:t>
      </w:r>
    </w:p>
    <w:p>
      <w:pPr>
        <w:pStyle w:val="Heading3"/>
      </w:pPr>
      <w:r>
        <w:t>Service Scope</w:t>
      </w:r>
    </w:p>
    <w:p>
      <w:pPr>
        <w:numPr>
          <w:ilvl w:val="0"/>
          <w:numId w:val="1"/>
        </w:numPr>
      </w:pPr>
      <w:r>
        <w:t>Web design &amp; development</w:t>
      </w:r>
    </w:p>
    <w:p>
      <w:pPr>
        <w:numPr>
          <w:ilvl w:val="0"/>
          <w:numId w:val="1"/>
        </w:numPr>
      </w:pPr>
      <w:r>
        <w:t>Branding</w:t>
      </w:r>
    </w:p>
    <w:p>
      <w:pPr>
        <w:numPr>
          <w:ilvl w:val="0"/>
          <w:numId w:val="1"/>
        </w:numPr>
      </w:pPr>
      <w:r>
        <w:t>eCommerce</w:t>
      </w:r>
    </w:p>
    <w:p>
      <w:pPr>
        <w:numPr>
          <w:ilvl w:val="0"/>
          <w:numId w:val="1"/>
        </w:numPr>
      </w:pPr>
      <w:r>
        <w:t>Digital marketing</w:t>
      </w:r>
    </w:p>
    <w:p>
      <w:pPr>
        <w:numPr>
          <w:ilvl w:val="0"/>
          <w:numId w:val="1"/>
        </w:numPr>
      </w:pPr>
      <w:r>
        <w:t>Strategy</w:t>
      </w:r>
    </w:p>
    <w:p>
      <w:pPr>
        <w:pStyle w:val="Heading3"/>
      </w:pPr>
      <w:r>
        <w:t>Strengths (Verified)</w:t>
      </w:r>
    </w:p>
    <w:p>
      <w:pPr>
        <w:numPr>
          <w:ilvl w:val="0"/>
          <w:numId w:val="1"/>
        </w:numPr>
      </w:pPr>
      <w:r>
        <w:t>Enterprise client roster</w:t>
      </w:r>
    </w:p>
    <w:p>
      <w:pPr>
        <w:numPr>
          <w:ilvl w:val="0"/>
          <w:numId w:val="1"/>
        </w:numPr>
      </w:pPr>
      <w:r>
        <w:t>Full-service capabilities</w:t>
      </w:r>
    </w:p>
    <w:p>
      <w:pPr>
        <w:numPr>
          <w:ilvl w:val="0"/>
          <w:numId w:val="1"/>
        </w:numPr>
      </w:pPr>
      <w:r>
        <w:t>Clutch rating: 4.9/5</w:t>
      </w:r>
    </w:p>
    <w:p>
      <w:pPr>
        <w:pStyle w:val="Heading3"/>
      </w:pPr>
      <w:r>
        <w:t>Limitations (Observed)</w:t>
      </w:r>
    </w:p>
    <w:p>
      <w:pPr>
        <w:numPr>
          <w:ilvl w:val="0"/>
          <w:numId w:val="1"/>
        </w:numPr>
      </w:pPr>
      <w:r>
        <w:t>No transparent pricing</w:t>
      </w:r>
    </w:p>
    <w:p>
      <w:pPr>
        <w:numPr>
          <w:ilvl w:val="0"/>
          <w:numId w:val="1"/>
        </w:numPr>
      </w:pPr>
      <w:r>
        <w:t>Higher entry point</w:t>
      </w:r>
    </w:p>
    <w:p>
      <w:pPr>
        <w:numPr>
          <w:ilvl w:val="0"/>
          <w:numId w:val="1"/>
        </w:numPr>
      </w:pPr>
      <w:r>
        <w:t>Less structured package approach</w:t>
      </w:r>
    </w:p>
    <w:p>
      <w:r>
        <w:br w:type="page"/>
      </w:r>
    </w:p>
    <w:p>
      <w:pPr>
        <w:pStyle w:val="Heading1"/>
      </w:pPr>
      <w:r>
        <w:t>Comparative Matrix</w:t>
      </w:r>
    </w:p>
    <w:p>
      <w:pPr>
        <w:pStyle w:val="Heading2"/>
      </w:pPr>
      <w:r>
        <w:t>Strategic Fit</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000"/>
        <w:gridCol w:w="2000"/>
      </w:tblGrid>
      <w:tr>
        <w:trPr>
          <w:tblHeader/>
        </w:trPr>
        <w:tc>
          <w:tcPr>
            <w:shd w:val="clear" w:fill="edf2f7"/>
            <w:vAlign w:val="center"/>
          </w:tcPr>
          <w:p>
            <w:pPr>
              <w:jc w:val="left"/>
            </w:pPr>
            <w:r>
              <w:rPr>
                <w:b/>
                <w:color w:val="1a202c"/>
                <w:sz w:val="21"/>
              </w:rPr>
              <w:t>Competitor</w:t>
            </w:r>
          </w:p>
        </w:tc>
        <w:tc>
          <w:tcPr>
            <w:shd w:val="clear" w:fill="edf2f7"/>
            <w:vAlign w:val="center"/>
          </w:tcPr>
          <w:p>
            <w:pPr>
              <w:jc w:val="left"/>
            </w:pPr>
            <w:r>
              <w:rPr>
                <w:b/>
                <w:color w:val="1a202c"/>
                <w:sz w:val="21"/>
              </w:rPr>
              <w:t>Target Market</w:t>
            </w:r>
          </w:p>
        </w:tc>
        <w:tc>
          <w:tcPr>
            <w:shd w:val="clear" w:fill="edf2f7"/>
            <w:vAlign w:val="center"/>
          </w:tcPr>
          <w:p>
            <w:pPr>
              <w:jc w:val="left"/>
            </w:pPr>
            <w:r>
              <w:rPr>
                <w:b/>
                <w:color w:val="1a202c"/>
                <w:sz w:val="21"/>
              </w:rPr>
              <w:t>Positioning Clarity</w:t>
            </w:r>
          </w:p>
        </w:tc>
      </w:tr>
      <w:tr>
        <w:tc>
          <w:tcPr>
            <w:vAlign w:val="center"/>
          </w:tcPr>
          <w:p>
            <w:pPr>
              <w:jc w:val="left"/>
            </w:pPr>
            <w:r>
              <w:rPr>
                <w:color w:val="1a202c"/>
                <w:sz w:val="21"/>
              </w:rPr>
              <w:t>Flowout</w:t>
            </w:r>
          </w:p>
        </w:tc>
        <w:tc>
          <w:tcPr>
            <w:vAlign w:val="center"/>
          </w:tcPr>
          <w:p>
            <w:pPr>
              <w:jc w:val="left"/>
            </w:pPr>
            <w:r>
              <w:rPr>
                <w:color w:val="1a202c"/>
                <w:sz w:val="21"/>
              </w:rPr>
              <w:t>High-growth SaaS/AI</w:t>
            </w:r>
          </w:p>
        </w:tc>
        <w:tc>
          <w:tcPr>
            <w:vAlign w:val="center"/>
          </w:tcPr>
          <w:p>
            <w:pPr>
              <w:jc w:val="left"/>
            </w:pPr>
            <w:r>
              <w:rPr>
                <w:color w:val="1a202c"/>
                <w:sz w:val="21"/>
              </w:rPr>
              <w:t>Clear (Webflow + subscription)</w:t>
            </w:r>
          </w:p>
        </w:tc>
      </w:tr>
      <w:tr>
        <w:tc>
          <w:tcPr>
            <w:vAlign w:val="center"/>
          </w:tcPr>
          <w:p>
            <w:pPr>
              <w:jc w:val="left"/>
            </w:pPr>
            <w:r>
              <w:rPr>
                <w:color w:val="1a202c"/>
                <w:sz w:val="21"/>
              </w:rPr>
              <w:t>Eleken</w:t>
            </w:r>
          </w:p>
        </w:tc>
        <w:tc>
          <w:tcPr>
            <w:vAlign w:val="center"/>
          </w:tcPr>
          <w:p>
            <w:pPr>
              <w:jc w:val="left"/>
            </w:pPr>
            <w:r>
              <w:rPr>
                <w:color w:val="1a202c"/>
                <w:sz w:val="21"/>
              </w:rPr>
              <w:t>SaaS product teams</w:t>
            </w:r>
          </w:p>
        </w:tc>
        <w:tc>
          <w:tcPr>
            <w:vAlign w:val="center"/>
          </w:tcPr>
          <w:p>
            <w:pPr>
              <w:jc w:val="left"/>
            </w:pPr>
            <w:r>
              <w:rPr>
                <w:color w:val="1a202c"/>
                <w:sz w:val="21"/>
              </w:rPr>
              <w:t>Clear (embedded designer)</w:t>
            </w:r>
          </w:p>
        </w:tc>
      </w:tr>
      <w:tr>
        <w:tc>
          <w:tcPr>
            <w:vAlign w:val="center"/>
          </w:tcPr>
          <w:p>
            <w:pPr>
              <w:jc w:val="left"/>
            </w:pPr>
            <w:r>
              <w:rPr>
                <w:color w:val="1a202c"/>
                <w:sz w:val="21"/>
              </w:rPr>
              <w:t>Designjoy</w:t>
            </w:r>
          </w:p>
        </w:tc>
        <w:tc>
          <w:tcPr>
            <w:vAlign w:val="center"/>
          </w:tcPr>
          <w:p>
            <w:pPr>
              <w:jc w:val="left"/>
            </w:pPr>
            <w:r>
              <w:rPr>
                <w:color w:val="1a202c"/>
                <w:sz w:val="21"/>
              </w:rPr>
              <w:t>Startups/SMBs</w:t>
            </w:r>
          </w:p>
        </w:tc>
        <w:tc>
          <w:tcPr>
            <w:vAlign w:val="center"/>
          </w:tcPr>
          <w:p>
            <w:pPr>
              <w:jc w:val="left"/>
            </w:pPr>
            <w:r>
              <w:rPr>
                <w:color w:val="1a202c"/>
                <w:sz w:val="21"/>
              </w:rPr>
              <w:t>Clear (founder-led unlimited)</w:t>
            </w:r>
          </w:p>
        </w:tc>
      </w:tr>
      <w:tr>
        <w:tc>
          <w:tcPr>
            <w:vAlign w:val="center"/>
          </w:tcPr>
          <w:p>
            <w:pPr>
              <w:jc w:val="left"/>
            </w:pPr>
            <w:r>
              <w:rPr>
                <w:color w:val="1a202c"/>
                <w:sz w:val="21"/>
              </w:rPr>
              <w:t>Clay</w:t>
            </w:r>
          </w:p>
        </w:tc>
        <w:tc>
          <w:tcPr>
            <w:vAlign w:val="center"/>
          </w:tcPr>
          <w:p>
            <w:pPr>
              <w:jc w:val="left"/>
            </w:pPr>
            <w:r>
              <w:rPr>
                <w:color w:val="1a202c"/>
                <w:sz w:val="21"/>
              </w:rPr>
              <w:t>Enterprise/tech</w:t>
            </w:r>
          </w:p>
        </w:tc>
        <w:tc>
          <w:tcPr>
            <w:vAlign w:val="center"/>
          </w:tcPr>
          <w:p>
            <w:pPr>
              <w:jc w:val="left"/>
            </w:pPr>
            <w:r>
              <w:rPr>
                <w:color w:val="1a202c"/>
                <w:sz w:val="21"/>
              </w:rPr>
              <w:t>Clear (AI-driven products)</w:t>
            </w:r>
          </w:p>
        </w:tc>
      </w:tr>
      <w:tr>
        <w:tc>
          <w:tcPr>
            <w:vAlign w:val="center"/>
          </w:tcPr>
          <w:p>
            <w:pPr>
              <w:jc w:val="left"/>
            </w:pPr>
            <w:r>
              <w:rPr>
                <w:color w:val="1a202c"/>
                <w:sz w:val="21"/>
              </w:rPr>
              <w:t>Digital Silk</w:t>
            </w:r>
          </w:p>
        </w:tc>
        <w:tc>
          <w:tcPr>
            <w:vAlign w:val="center"/>
          </w:tcPr>
          <w:p>
            <w:pPr>
              <w:jc w:val="left"/>
            </w:pPr>
            <w:r>
              <w:rPr>
                <w:color w:val="1a202c"/>
                <w:sz w:val="21"/>
              </w:rPr>
              <w:t>Enterprise brands</w:t>
            </w:r>
          </w:p>
        </w:tc>
        <w:tc>
          <w:tcPr>
            <w:vAlign w:val="center"/>
          </w:tcPr>
          <w:p>
            <w:pPr>
              <w:jc w:val="left"/>
            </w:pPr>
            <w:r>
              <w:rPr>
                <w:color w:val="1a202c"/>
                <w:sz w:val="21"/>
              </w:rPr>
              <w:t>Clear (strategy + style)</w:t>
            </w:r>
          </w:p>
        </w:tc>
      </w:tr>
      <w:tr>
        <w:tc>
          <w:tcPr>
            <w:vAlign w:val="center"/>
          </w:tcPr>
          <w:p>
            <w:pPr>
              <w:jc w:val="left"/>
            </w:pPr>
            <w:r>
              <w:rPr>
                <w:color w:val="1a202c"/>
                <w:sz w:val="21"/>
              </w:rPr>
              <w:t>NoDrftSystems</w:t>
            </w:r>
          </w:p>
        </w:tc>
        <w:tc>
          <w:tcPr>
            <w:vAlign w:val="center"/>
          </w:tcPr>
          <w:p>
            <w:pPr>
              <w:jc w:val="left"/>
            </w:pPr>
            <w:r>
              <w:rPr>
                <w:color w:val="1a202c"/>
                <w:sz w:val="21"/>
              </w:rPr>
              <w:t>SMBs 10-50 employees</w:t>
            </w:r>
          </w:p>
        </w:tc>
        <w:tc>
          <w:tcPr>
            <w:vAlign w:val="center"/>
          </w:tcPr>
          <w:p>
            <w:pPr>
              <w:jc w:val="left"/>
            </w:pPr>
            <w:r>
              <w:rPr>
                <w:color w:val="1a202c"/>
                <w:sz w:val="21"/>
              </w:rPr>
              <w:t>Clear (structured packages + zero drift)</w:t>
            </w:r>
          </w:p>
        </w:tc>
      </w:tr>
    </w:tbl>
    <w:p>
      <w:pPr>
        <w:pStyle w:val="Heading2"/>
      </w:pPr>
      <w:r>
        <w:t>Scope Breadth</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000"/>
        <w:gridCol w:w="2000"/>
        <w:gridCol w:w="2000"/>
        <w:gridCol w:w="2000"/>
      </w:tblGrid>
      <w:tr>
        <w:trPr>
          <w:tblHeader/>
        </w:trPr>
        <w:tc>
          <w:tcPr>
            <w:shd w:val="clear" w:fill="edf2f7"/>
            <w:vAlign w:val="center"/>
          </w:tcPr>
          <w:p>
            <w:pPr>
              <w:jc w:val="left"/>
            </w:pPr>
            <w:r>
              <w:rPr>
                <w:b/>
                <w:color w:val="1a202c"/>
                <w:sz w:val="21"/>
              </w:rPr>
              <w:t>Competitor</w:t>
            </w:r>
          </w:p>
        </w:tc>
        <w:tc>
          <w:tcPr>
            <w:shd w:val="clear" w:fill="edf2f7"/>
            <w:vAlign w:val="center"/>
          </w:tcPr>
          <w:p>
            <w:pPr>
              <w:jc w:val="left"/>
            </w:pPr>
            <w:r>
              <w:rPr>
                <w:b/>
                <w:color w:val="1a202c"/>
                <w:sz w:val="21"/>
              </w:rPr>
              <w:t>Design</w:t>
            </w:r>
          </w:p>
        </w:tc>
        <w:tc>
          <w:tcPr>
            <w:shd w:val="clear" w:fill="edf2f7"/>
            <w:vAlign w:val="center"/>
          </w:tcPr>
          <w:p>
            <w:pPr>
              <w:jc w:val="left"/>
            </w:pPr>
            <w:r>
              <w:rPr>
                <w:b/>
                <w:color w:val="1a202c"/>
                <w:sz w:val="21"/>
              </w:rPr>
              <w:t>Development</w:t>
            </w:r>
          </w:p>
        </w:tc>
        <w:tc>
          <w:tcPr>
            <w:shd w:val="clear" w:fill="edf2f7"/>
            <w:vAlign w:val="center"/>
          </w:tcPr>
          <w:p>
            <w:pPr>
              <w:jc w:val="left"/>
            </w:pPr>
            <w:r>
              <w:rPr>
                <w:b/>
                <w:color w:val="1a202c"/>
                <w:sz w:val="21"/>
              </w:rPr>
              <w:t>Strategy</w:t>
            </w:r>
          </w:p>
        </w:tc>
        <w:tc>
          <w:tcPr>
            <w:shd w:val="clear" w:fill="edf2f7"/>
            <w:vAlign w:val="center"/>
          </w:tcPr>
          <w:p>
            <w:pPr>
              <w:jc w:val="left"/>
            </w:pPr>
            <w:r>
              <w:rPr>
                <w:b/>
                <w:color w:val="1a202c"/>
                <w:sz w:val="21"/>
              </w:rPr>
              <w:t>Packages</w:t>
            </w:r>
          </w:p>
        </w:tc>
      </w:tr>
      <w:tr>
        <w:tc>
          <w:tcPr>
            <w:vAlign w:val="center"/>
          </w:tcPr>
          <w:p>
            <w:pPr>
              <w:jc w:val="left"/>
            </w:pPr>
            <w:r>
              <w:rPr>
                <w:color w:val="1a202c"/>
                <w:sz w:val="21"/>
              </w:rPr>
              <w:t>Flowout</w:t>
            </w:r>
          </w:p>
        </w:tc>
        <w:tc>
          <w:tcPr>
            <w:vAlign w:val="center"/>
          </w:tcPr>
          <w:p>
            <w:pPr>
              <w:jc w:val="left"/>
            </w:pPr>
            <w:r>
              <w:rPr>
                <w:color w:val="1a202c"/>
                <w:sz w:val="21"/>
              </w:rPr>
              <w:t>Yes</w:t>
            </w:r>
          </w:p>
        </w:tc>
        <w:tc>
          <w:tcPr>
            <w:vAlign w:val="center"/>
          </w:tcPr>
          <w:p>
            <w:pPr>
              <w:jc w:val="left"/>
            </w:pPr>
            <w:r>
              <w:rPr>
                <w:color w:val="1a202c"/>
                <w:sz w:val="21"/>
              </w:rPr>
              <w:t>Yes (Webflow)</w:t>
            </w:r>
          </w:p>
        </w:tc>
        <w:tc>
          <w:tcPr>
            <w:vAlign w:val="center"/>
          </w:tcPr>
          <w:p>
            <w:pPr>
              <w:jc w:val="left"/>
            </w:pPr>
            <w:r>
              <w:rPr>
                <w:color w:val="1a202c"/>
                <w:sz w:val="21"/>
              </w:rPr>
              <w:t>Limited</w:t>
            </w:r>
          </w:p>
        </w:tc>
        <w:tc>
          <w:tcPr>
            <w:vAlign w:val="center"/>
          </w:tcPr>
          <w:p>
            <w:pPr>
              <w:jc w:val="left"/>
            </w:pPr>
            <w:r>
              <w:rPr>
                <w:color w:val="1a202c"/>
                <w:sz w:val="21"/>
              </w:rPr>
              <w:t>Subscription tiers</w:t>
            </w:r>
          </w:p>
        </w:tc>
      </w:tr>
      <w:tr>
        <w:tc>
          <w:tcPr>
            <w:vAlign w:val="center"/>
          </w:tcPr>
          <w:p>
            <w:pPr>
              <w:jc w:val="left"/>
            </w:pPr>
            <w:r>
              <w:rPr>
                <w:color w:val="1a202c"/>
                <w:sz w:val="21"/>
              </w:rPr>
              <w:t>Eleken</w:t>
            </w:r>
          </w:p>
        </w:tc>
        <w:tc>
          <w:tcPr>
            <w:vAlign w:val="center"/>
          </w:tcPr>
          <w:p>
            <w:pPr>
              <w:jc w:val="left"/>
            </w:pPr>
            <w:r>
              <w:rPr>
                <w:color w:val="1a202c"/>
                <w:sz w:val="21"/>
              </w:rPr>
              <w:t>Yes</w:t>
            </w:r>
          </w:p>
        </w:tc>
        <w:tc>
          <w:tcPr>
            <w:vAlign w:val="center"/>
          </w:tcPr>
          <w:p>
            <w:pPr>
              <w:jc w:val="left"/>
            </w:pPr>
            <w:r>
              <w:rPr>
                <w:color w:val="1a202c"/>
                <w:sz w:val="21"/>
              </w:rPr>
              <w:t>No</w:t>
            </w:r>
          </w:p>
        </w:tc>
        <w:tc>
          <w:tcPr>
            <w:vAlign w:val="center"/>
          </w:tcPr>
          <w:p>
            <w:pPr>
              <w:jc w:val="left"/>
            </w:pPr>
            <w:r>
              <w:rPr>
                <w:color w:val="1a202c"/>
                <w:sz w:val="21"/>
              </w:rPr>
              <w:t>Limited</w:t>
            </w:r>
          </w:p>
        </w:tc>
        <w:tc>
          <w:tcPr>
            <w:vAlign w:val="center"/>
          </w:tcPr>
          <w:p>
            <w:pPr>
              <w:jc w:val="left"/>
            </w:pPr>
            <w:r>
              <w:rPr>
                <w:color w:val="1a202c"/>
                <w:sz w:val="21"/>
              </w:rPr>
              <w:t>Subscription only</w:t>
            </w:r>
          </w:p>
        </w:tc>
      </w:tr>
      <w:tr>
        <w:tc>
          <w:tcPr>
            <w:vAlign w:val="center"/>
          </w:tcPr>
          <w:p>
            <w:pPr>
              <w:jc w:val="left"/>
            </w:pPr>
            <w:r>
              <w:rPr>
                <w:color w:val="1a202c"/>
                <w:sz w:val="21"/>
              </w:rPr>
              <w:t>Designjoy</w:t>
            </w:r>
          </w:p>
        </w:tc>
        <w:tc>
          <w:tcPr>
            <w:vAlign w:val="center"/>
          </w:tcPr>
          <w:p>
            <w:pPr>
              <w:jc w:val="left"/>
            </w:pPr>
            <w:r>
              <w:rPr>
                <w:color w:val="1a202c"/>
                <w:sz w:val="21"/>
              </w:rPr>
              <w:t>Yes</w:t>
            </w:r>
          </w:p>
        </w:tc>
        <w:tc>
          <w:tcPr>
            <w:vAlign w:val="center"/>
          </w:tcPr>
          <w:p>
            <w:pPr>
              <w:jc w:val="left"/>
            </w:pPr>
            <w:r>
              <w:rPr>
                <w:color w:val="1a202c"/>
                <w:sz w:val="21"/>
              </w:rPr>
              <w:t>Yes (Webflow)</w:t>
            </w:r>
          </w:p>
        </w:tc>
        <w:tc>
          <w:tcPr>
            <w:vAlign w:val="center"/>
          </w:tcPr>
          <w:p>
            <w:pPr>
              <w:jc w:val="left"/>
            </w:pPr>
            <w:r>
              <w:rPr>
                <w:color w:val="1a202c"/>
                <w:sz w:val="21"/>
              </w:rPr>
              <w:t>No</w:t>
            </w:r>
          </w:p>
        </w:tc>
        <w:tc>
          <w:tcPr>
            <w:vAlign w:val="center"/>
          </w:tcPr>
          <w:p>
            <w:pPr>
              <w:jc w:val="left"/>
            </w:pPr>
            <w:r>
              <w:rPr>
                <w:color w:val="1a202c"/>
                <w:sz w:val="21"/>
              </w:rPr>
              <w:t>Single tier</w:t>
            </w:r>
          </w:p>
        </w:tc>
      </w:tr>
      <w:tr>
        <w:tc>
          <w:tcPr>
            <w:vAlign w:val="center"/>
          </w:tcPr>
          <w:p>
            <w:pPr>
              <w:jc w:val="left"/>
            </w:pPr>
            <w:r>
              <w:rPr>
                <w:color w:val="1a202c"/>
                <w:sz w:val="21"/>
              </w:rPr>
              <w:t>Clay</w:t>
            </w:r>
          </w:p>
        </w:tc>
        <w:tc>
          <w:tcPr>
            <w:vAlign w:val="center"/>
          </w:tcPr>
          <w:p>
            <w:pPr>
              <w:jc w:val="left"/>
            </w:pPr>
            <w:r>
              <w:rPr>
                <w:color w:val="1a202c"/>
                <w:sz w:val="21"/>
              </w:rPr>
              <w:t>Yes</w:t>
            </w:r>
          </w:p>
        </w:tc>
        <w:tc>
          <w:tcPr>
            <w:vAlign w:val="center"/>
          </w:tcPr>
          <w:p>
            <w:pPr>
              <w:jc w:val="left"/>
            </w:pPr>
            <w:r>
              <w:rPr>
                <w:color w:val="1a202c"/>
                <w:sz w:val="21"/>
              </w:rPr>
              <w:t>Yes</w:t>
            </w:r>
          </w:p>
        </w:tc>
        <w:tc>
          <w:tcPr>
            <w:vAlign w:val="center"/>
          </w:tcPr>
          <w:p>
            <w:pPr>
              <w:jc w:val="left"/>
            </w:pPr>
            <w:r>
              <w:rPr>
                <w:color w:val="1a202c"/>
                <w:sz w:val="21"/>
              </w:rPr>
              <w:t>Yes</w:t>
            </w:r>
          </w:p>
        </w:tc>
        <w:tc>
          <w:tcPr>
            <w:vAlign w:val="center"/>
          </w:tcPr>
          <w:p>
            <w:pPr>
              <w:jc w:val="left"/>
            </w:pPr>
            <w:r>
              <w:rPr>
                <w:color w:val="1a202c"/>
                <w:sz w:val="21"/>
              </w:rPr>
              <w:t>Custom scope</w:t>
            </w:r>
          </w:p>
        </w:tc>
      </w:tr>
      <w:tr>
        <w:tc>
          <w:tcPr>
            <w:vAlign w:val="center"/>
          </w:tcPr>
          <w:p>
            <w:pPr>
              <w:jc w:val="left"/>
            </w:pPr>
            <w:r>
              <w:rPr>
                <w:color w:val="1a202c"/>
                <w:sz w:val="21"/>
              </w:rPr>
              <w:t>Digital Silk</w:t>
            </w:r>
          </w:p>
        </w:tc>
        <w:tc>
          <w:tcPr>
            <w:vAlign w:val="center"/>
          </w:tcPr>
          <w:p>
            <w:pPr>
              <w:jc w:val="left"/>
            </w:pPr>
            <w:r>
              <w:rPr>
                <w:color w:val="1a202c"/>
                <w:sz w:val="21"/>
              </w:rPr>
              <w:t>Yes</w:t>
            </w:r>
          </w:p>
        </w:tc>
        <w:tc>
          <w:tcPr>
            <w:vAlign w:val="center"/>
          </w:tcPr>
          <w:p>
            <w:pPr>
              <w:jc w:val="left"/>
            </w:pPr>
            <w:r>
              <w:rPr>
                <w:color w:val="1a202c"/>
                <w:sz w:val="21"/>
              </w:rPr>
              <w:t>Yes</w:t>
            </w:r>
          </w:p>
        </w:tc>
        <w:tc>
          <w:tcPr>
            <w:vAlign w:val="center"/>
          </w:tcPr>
          <w:p>
            <w:pPr>
              <w:jc w:val="left"/>
            </w:pPr>
            <w:r>
              <w:rPr>
                <w:color w:val="1a202c"/>
                <w:sz w:val="21"/>
              </w:rPr>
              <w:t>Yes</w:t>
            </w:r>
          </w:p>
        </w:tc>
        <w:tc>
          <w:tcPr>
            <w:vAlign w:val="center"/>
          </w:tcPr>
          <w:p>
            <w:pPr>
              <w:jc w:val="left"/>
            </w:pPr>
            <w:r>
              <w:rPr>
                <w:color w:val="1a202c"/>
                <w:sz w:val="21"/>
              </w:rPr>
              <w:t>Custom scope</w:t>
            </w:r>
          </w:p>
        </w:tc>
      </w:tr>
      <w:tr>
        <w:tc>
          <w:tcPr>
            <w:vAlign w:val="center"/>
          </w:tcPr>
          <w:p>
            <w:pPr>
              <w:jc w:val="left"/>
            </w:pPr>
            <w:r>
              <w:rPr>
                <w:color w:val="1a202c"/>
                <w:sz w:val="21"/>
              </w:rPr>
              <w:t>NoDrftSystems</w:t>
            </w:r>
          </w:p>
        </w:tc>
        <w:tc>
          <w:tcPr>
            <w:vAlign w:val="center"/>
          </w:tcPr>
          <w:p>
            <w:pPr>
              <w:jc w:val="left"/>
            </w:pPr>
            <w:r>
              <w:rPr>
                <w:color w:val="1a202c"/>
                <w:sz w:val="21"/>
              </w:rPr>
              <w:t>Yes</w:t>
            </w:r>
          </w:p>
        </w:tc>
        <w:tc>
          <w:tcPr>
            <w:vAlign w:val="center"/>
          </w:tcPr>
          <w:p>
            <w:pPr>
              <w:jc w:val="left"/>
            </w:pPr>
            <w:r>
              <w:rPr>
                <w:color w:val="1a202c"/>
                <w:sz w:val="21"/>
              </w:rPr>
              <w:t>Yes (full-stack)</w:t>
            </w:r>
          </w:p>
        </w:tc>
        <w:tc>
          <w:tcPr>
            <w:vAlign w:val="center"/>
          </w:tcPr>
          <w:p>
            <w:pPr>
              <w:jc w:val="left"/>
            </w:pPr>
            <w:r>
              <w:rPr>
                <w:color w:val="1a202c"/>
                <w:sz w:val="21"/>
              </w:rPr>
              <w:t>Yes</w:t>
            </w:r>
          </w:p>
        </w:tc>
        <w:tc>
          <w:tcPr>
            <w:vAlign w:val="center"/>
          </w:tcPr>
          <w:p>
            <w:pPr>
              <w:jc w:val="left"/>
            </w:pPr>
            <w:r>
              <w:rPr>
                <w:color w:val="1a202c"/>
                <w:sz w:val="21"/>
              </w:rPr>
              <w:t>Defined ladder</w:t>
            </w:r>
          </w:p>
        </w:tc>
      </w:tr>
    </w:tbl>
    <w:p>
      <w:pPr>
        <w:pStyle w:val="Heading2"/>
      </w:pPr>
      <w:r>
        <w:t>Pricing Structure</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df2f7"/>
            <w:vAlign w:val="center"/>
          </w:tcPr>
          <w:p>
            <w:pPr>
              <w:jc w:val="left"/>
            </w:pPr>
            <w:r>
              <w:rPr>
                <w:b/>
                <w:color w:val="1a202c"/>
                <w:sz w:val="21"/>
              </w:rPr>
              <w:t>Competitor</w:t>
            </w:r>
          </w:p>
        </w:tc>
        <w:tc>
          <w:tcPr>
            <w:shd w:val="clear" w:fill="edf2f7"/>
            <w:vAlign w:val="center"/>
          </w:tcPr>
          <w:p>
            <w:pPr>
              <w:jc w:val="left"/>
            </w:pPr>
            <w:r>
              <w:rPr>
                <w:b/>
                <w:color w:val="1a202c"/>
                <w:sz w:val="21"/>
              </w:rPr>
              <w:t>Model</w:t>
            </w:r>
          </w:p>
        </w:tc>
        <w:tc>
          <w:tcPr>
            <w:shd w:val="clear" w:fill="edf2f7"/>
            <w:vAlign w:val="center"/>
          </w:tcPr>
          <w:p>
            <w:pPr>
              <w:jc w:val="left"/>
            </w:pPr>
            <w:r>
              <w:rPr>
                <w:b/>
                <w:color w:val="1a202c"/>
                <w:sz w:val="21"/>
              </w:rPr>
              <w:t>Entry Point</w:t>
            </w:r>
          </w:p>
        </w:tc>
        <w:tc>
          <w:tcPr>
            <w:shd w:val="clear" w:fill="edf2f7"/>
            <w:vAlign w:val="center"/>
          </w:tcPr>
          <w:p>
            <w:pPr>
              <w:jc w:val="left"/>
            </w:pPr>
            <w:r>
              <w:rPr>
                <w:b/>
                <w:color w:val="1a202c"/>
                <w:sz w:val="21"/>
              </w:rPr>
              <w:t>Transparency</w:t>
            </w:r>
          </w:p>
        </w:tc>
      </w:tr>
      <w:tr>
        <w:tc>
          <w:tcPr>
            <w:vAlign w:val="center"/>
          </w:tcPr>
          <w:p>
            <w:pPr>
              <w:jc w:val="left"/>
            </w:pPr>
            <w:r>
              <w:rPr>
                <w:color w:val="1a202c"/>
                <w:sz w:val="21"/>
              </w:rPr>
              <w:t>Flowout</w:t>
            </w:r>
          </w:p>
        </w:tc>
        <w:tc>
          <w:tcPr>
            <w:vAlign w:val="center"/>
          </w:tcPr>
          <w:p>
            <w:pPr>
              <w:jc w:val="left"/>
            </w:pPr>
            <w:r>
              <w:rPr>
                <w:color w:val="1a202c"/>
                <w:sz w:val="21"/>
              </w:rPr>
              <w:t>Subscription</w:t>
            </w:r>
          </w:p>
        </w:tc>
        <w:tc>
          <w:tcPr>
            <w:vAlign w:val="center"/>
          </w:tcPr>
          <w:p>
            <w:pPr>
              <w:jc w:val="left"/>
            </w:pPr>
            <w:r>
              <w:rPr>
                <w:color w:val="1a202c"/>
                <w:sz w:val="21"/>
              </w:rPr>
              <w:t>$5,900/mo</w:t>
            </w:r>
          </w:p>
        </w:tc>
        <w:tc>
          <w:tcPr>
            <w:vAlign w:val="center"/>
          </w:tcPr>
          <w:p>
            <w:pPr>
              <w:jc w:val="left"/>
            </w:pPr>
            <w:r>
              <w:rPr>
                <w:color w:val="1a202c"/>
                <w:sz w:val="21"/>
              </w:rPr>
              <w:t>High (published)</w:t>
            </w:r>
          </w:p>
        </w:tc>
      </w:tr>
      <w:tr>
        <w:tc>
          <w:tcPr>
            <w:vAlign w:val="center"/>
          </w:tcPr>
          <w:p>
            <w:pPr>
              <w:jc w:val="left"/>
            </w:pPr>
            <w:r>
              <w:rPr>
                <w:color w:val="1a202c"/>
                <w:sz w:val="21"/>
              </w:rPr>
              <w:t>Eleken</w:t>
            </w:r>
          </w:p>
        </w:tc>
        <w:tc>
          <w:tcPr>
            <w:vAlign w:val="center"/>
          </w:tcPr>
          <w:p>
            <w:pPr>
              <w:jc w:val="left"/>
            </w:pPr>
            <w:r>
              <w:rPr>
                <w:color w:val="1a202c"/>
                <w:sz w:val="21"/>
              </w:rPr>
              <w:t>Subscription</w:t>
            </w:r>
          </w:p>
        </w:tc>
        <w:tc>
          <w:tcPr>
            <w:vAlign w:val="center"/>
          </w:tcPr>
          <w:p>
            <w:pPr>
              <w:jc w:val="left"/>
            </w:pPr>
            <w:r>
              <w:rPr>
                <w:color w:val="1a202c"/>
                <w:sz w:val="21"/>
              </w:rPr>
              <w:t>$3,799/mo</w:t>
            </w:r>
          </w:p>
        </w:tc>
        <w:tc>
          <w:tcPr>
            <w:vAlign w:val="center"/>
          </w:tcPr>
          <w:p>
            <w:pPr>
              <w:jc w:val="left"/>
            </w:pPr>
            <w:r>
              <w:rPr>
                <w:color w:val="1a202c"/>
                <w:sz w:val="21"/>
              </w:rPr>
              <w:t>Medium</w:t>
            </w:r>
          </w:p>
        </w:tc>
      </w:tr>
      <w:tr>
        <w:tc>
          <w:tcPr>
            <w:vAlign w:val="center"/>
          </w:tcPr>
          <w:p>
            <w:pPr>
              <w:jc w:val="left"/>
            </w:pPr>
            <w:r>
              <w:rPr>
                <w:color w:val="1a202c"/>
                <w:sz w:val="21"/>
              </w:rPr>
              <w:t>Designjoy</w:t>
            </w:r>
          </w:p>
        </w:tc>
        <w:tc>
          <w:tcPr>
            <w:vAlign w:val="center"/>
          </w:tcPr>
          <w:p>
            <w:pPr>
              <w:jc w:val="left"/>
            </w:pPr>
            <w:r>
              <w:rPr>
                <w:color w:val="1a202c"/>
                <w:sz w:val="21"/>
              </w:rPr>
              <w:t>Subscription</w:t>
            </w:r>
          </w:p>
        </w:tc>
        <w:tc>
          <w:tcPr>
            <w:vAlign w:val="center"/>
          </w:tcPr>
          <w:p>
            <w:pPr>
              <w:jc w:val="left"/>
            </w:pPr>
            <w:r>
              <w:rPr>
                <w:color w:val="1a202c"/>
                <w:sz w:val="21"/>
              </w:rPr>
              <w:t>$5,995/mo</w:t>
            </w:r>
          </w:p>
        </w:tc>
        <w:tc>
          <w:tcPr>
            <w:vAlign w:val="center"/>
          </w:tcPr>
          <w:p>
            <w:pPr>
              <w:jc w:val="left"/>
            </w:pPr>
            <w:r>
              <w:rPr>
                <w:color w:val="1a202c"/>
                <w:sz w:val="21"/>
              </w:rPr>
              <w:t>High (published)</w:t>
            </w:r>
          </w:p>
        </w:tc>
      </w:tr>
      <w:tr>
        <w:tc>
          <w:tcPr>
            <w:vAlign w:val="center"/>
          </w:tcPr>
          <w:p>
            <w:pPr>
              <w:jc w:val="left"/>
            </w:pPr>
            <w:r>
              <w:rPr>
                <w:color w:val="1a202c"/>
                <w:sz w:val="21"/>
              </w:rPr>
              <w:t>Clay</w:t>
            </w:r>
          </w:p>
        </w:tc>
        <w:tc>
          <w:tcPr>
            <w:vAlign w:val="center"/>
          </w:tcPr>
          <w:p>
            <w:pPr>
              <w:jc w:val="left"/>
            </w:pPr>
            <w:r>
              <w:rPr>
                <w:color w:val="1a202c"/>
                <w:sz w:val="21"/>
              </w:rPr>
              <w:t>Project/hourly</w:t>
            </w:r>
          </w:p>
        </w:tc>
        <w:tc>
          <w:tcPr>
            <w:vAlign w:val="center"/>
          </w:tcPr>
          <w:p>
            <w:pPr>
              <w:jc w:val="left"/>
            </w:pPr>
            <w:r>
              <w:rPr>
                <w:color w:val="1a202c"/>
                <w:sz w:val="21"/>
              </w:rPr>
              <w:t>$50,000+</w:t>
            </w:r>
          </w:p>
        </w:tc>
        <w:tc>
          <w:tcPr>
            <w:vAlign w:val="center"/>
          </w:tcPr>
          <w:p>
            <w:pPr>
              <w:jc w:val="left"/>
            </w:pPr>
            <w:r>
              <w:rPr>
                <w:color w:val="1a202c"/>
                <w:sz w:val="21"/>
              </w:rPr>
              <w:t>Low</w:t>
            </w:r>
          </w:p>
        </w:tc>
      </w:tr>
      <w:tr>
        <w:tc>
          <w:tcPr>
            <w:vAlign w:val="center"/>
          </w:tcPr>
          <w:p>
            <w:pPr>
              <w:jc w:val="left"/>
            </w:pPr>
            <w:r>
              <w:rPr>
                <w:color w:val="1a202c"/>
                <w:sz w:val="21"/>
              </w:rPr>
              <w:t>Digital Silk</w:t>
            </w:r>
          </w:p>
        </w:tc>
        <w:tc>
          <w:tcPr>
            <w:vAlign w:val="center"/>
          </w:tcPr>
          <w:p>
            <w:pPr>
              <w:jc w:val="left"/>
            </w:pPr>
            <w:r>
              <w:rPr>
                <w:color w:val="1a202c"/>
                <w:sz w:val="21"/>
              </w:rPr>
              <w:t>Project</w:t>
            </w:r>
          </w:p>
        </w:tc>
        <w:tc>
          <w:tcPr>
            <w:vAlign w:val="center"/>
          </w:tcPr>
          <w:p>
            <w:pPr>
              <w:jc w:val="left"/>
            </w:pPr>
            <w:r>
              <w:rPr>
                <w:color w:val="1a202c"/>
                <w:sz w:val="21"/>
              </w:rPr>
              <w:t>$7,500+</w:t>
            </w:r>
          </w:p>
        </w:tc>
        <w:tc>
          <w:tcPr>
            <w:vAlign w:val="center"/>
          </w:tcPr>
          <w:p>
            <w:pPr>
              <w:jc w:val="left"/>
            </w:pPr>
            <w:r>
              <w:rPr>
                <w:color w:val="1a202c"/>
                <w:sz w:val="21"/>
              </w:rPr>
              <w:t>Low</w:t>
            </w:r>
          </w:p>
        </w:tc>
      </w:tr>
      <w:tr>
        <w:tc>
          <w:tcPr>
            <w:vAlign w:val="center"/>
          </w:tcPr>
          <w:p>
            <w:pPr>
              <w:jc w:val="left"/>
            </w:pPr>
            <w:r>
              <w:rPr>
                <w:color w:val="1a202c"/>
                <w:sz w:val="21"/>
              </w:rPr>
              <w:t>NoDrftSystems</w:t>
            </w:r>
          </w:p>
        </w:tc>
        <w:tc>
          <w:tcPr>
            <w:vAlign w:val="center"/>
          </w:tcPr>
          <w:p>
            <w:pPr>
              <w:jc w:val="left"/>
            </w:pPr>
            <w:r>
              <w:rPr>
                <w:color w:val="1a202c"/>
                <w:sz w:val="21"/>
              </w:rPr>
              <w:t>Fixed packages</w:t>
            </w:r>
          </w:p>
        </w:tc>
        <w:tc>
          <w:tcPr>
            <w:vAlign w:val="center"/>
          </w:tcPr>
          <w:p>
            <w:r>
              <w:t>$2,500</w:t>
            </w:r>
          </w:p>
        </w:tc>
        <w:tc>
          <w:tcPr>
            <w:vAlign w:val="center"/>
          </w:tcPr>
          <w:p>
            <w:pPr>
              <w:jc w:val="left"/>
            </w:pPr>
            <w:r>
              <w:rPr>
                <w:color w:val="1a202c"/>
                <w:sz w:val="21"/>
              </w:rPr>
              <w:t>High (defined ladder)</w:t>
            </w:r>
          </w:p>
        </w:tc>
      </w:tr>
    </w:tbl>
    <w:p>
      <w:pPr>
        <w:pStyle w:val="Heading2"/>
      </w:pPr>
      <w:r>
        <w:t>Delivery Rigor</w:t>
      </w:r>
    </w:p>
    <w:tbl>
      <w:tblPr>
        <w:tblW w:w="5000" w:type="pct"/>
        <w:tblBorders>
          <w:top w:val="single" w:color="1a365d" w:sz="8"/>
          <w:left w:val="nil"/>
          <w:bottom w:val="single" w:color="1a365d" w:sz="8"/>
          <w:right w:val="nil"/>
          <w:insideH w:val="single" w:color="e2e8f0" w:sz="4"/>
          <w:insideV w:val="nil"/>
        </w:tblBorders>
        <w:tblCellMar>
          <w:top w:w="100" w:type="dxa"/>
          <w:left w:w="150" w:type="dxa"/>
          <w:bottom w:w="100" w:type="dxa"/>
          <w:right w:w="150" w:type="dxa"/>
        </w:tblCellMar>
      </w:tblPr>
      <w:tblGrid>
        <w:gridCol w:w="2000"/>
        <w:gridCol w:w="2000"/>
        <w:gridCol w:w="2000"/>
        <w:gridCol w:w="2000"/>
      </w:tblGrid>
      <w:tr>
        <w:trPr>
          <w:tblHeader/>
        </w:trPr>
        <w:tc>
          <w:tcPr>
            <w:shd w:val="clear" w:fill="edf2f7"/>
            <w:vAlign w:val="center"/>
          </w:tcPr>
          <w:p>
            <w:pPr>
              <w:jc w:val="left"/>
            </w:pPr>
            <w:r>
              <w:rPr>
                <w:b/>
                <w:color w:val="1a202c"/>
                <w:sz w:val="21"/>
              </w:rPr>
              <w:t>Competitor</w:t>
            </w:r>
          </w:p>
        </w:tc>
        <w:tc>
          <w:tcPr>
            <w:shd w:val="clear" w:fill="edf2f7"/>
            <w:vAlign w:val="center"/>
          </w:tcPr>
          <w:p>
            <w:pPr>
              <w:jc w:val="left"/>
            </w:pPr>
            <w:r>
              <w:rPr>
                <w:b/>
                <w:color w:val="1a202c"/>
                <w:sz w:val="21"/>
              </w:rPr>
              <w:t>Process Documentation</w:t>
            </w:r>
          </w:p>
        </w:tc>
        <w:tc>
          <w:tcPr>
            <w:shd w:val="clear" w:fill="edf2f7"/>
            <w:vAlign w:val="center"/>
          </w:tcPr>
          <w:p>
            <w:pPr>
              <w:jc w:val="left"/>
            </w:pPr>
            <w:r>
              <w:rPr>
                <w:b/>
                <w:color w:val="1a202c"/>
                <w:sz w:val="21"/>
              </w:rPr>
              <w:t>QA Claims</w:t>
            </w:r>
          </w:p>
        </w:tc>
        <w:tc>
          <w:tcPr>
            <w:shd w:val="clear" w:fill="edf2f7"/>
            <w:vAlign w:val="center"/>
          </w:tcPr>
          <w:p>
            <w:pPr>
              <w:jc w:val="left"/>
            </w:pPr>
            <w:r>
              <w:rPr>
                <w:b/>
                <w:color w:val="1a202c"/>
                <w:sz w:val="21"/>
              </w:rPr>
              <w:t>Review Gates</w:t>
            </w:r>
          </w:p>
        </w:tc>
      </w:tr>
      <w:tr>
        <w:tc>
          <w:tcPr>
            <w:vAlign w:val="center"/>
          </w:tcPr>
          <w:p>
            <w:pPr>
              <w:jc w:val="left"/>
            </w:pPr>
            <w:r>
              <w:rPr>
                <w:color w:val="1a202c"/>
                <w:sz w:val="21"/>
              </w:rPr>
              <w:t>Flowout</w:t>
            </w:r>
          </w:p>
        </w:tc>
        <w:tc>
          <w:tcPr>
            <w:vAlign w:val="center"/>
          </w:tcPr>
          <w:p>
            <w:pPr>
              <w:jc w:val="left"/>
            </w:pPr>
            <w:r>
              <w:rPr>
                <w:color w:val="1a202c"/>
                <w:sz w:val="21"/>
              </w:rPr>
              <w:t>Not publicly detailed</w:t>
            </w:r>
          </w:p>
        </w:tc>
        <w:tc>
          <w:tcPr>
            <w:vAlign w:val="center"/>
          </w:tcPr>
          <w:p>
            <w:pPr>
              <w:jc w:val="left"/>
            </w:pPr>
            <w:r>
              <w:rPr>
                <w:color w:val="1a202c"/>
                <w:sz w:val="21"/>
              </w:rPr>
              <w:t>Not specified</w:t>
            </w:r>
          </w:p>
        </w:tc>
        <w:tc>
          <w:tcPr>
            <w:vAlign w:val="center"/>
          </w:tcPr>
          <w:p>
            <w:pPr>
              <w:jc w:val="left"/>
            </w:pPr>
            <w:r>
              <w:rPr>
                <w:color w:val="1a202c"/>
                <w:sz w:val="21"/>
              </w:rPr>
              <w:t>Not specified</w:t>
            </w:r>
          </w:p>
        </w:tc>
      </w:tr>
      <w:tr>
        <w:tc>
          <w:tcPr>
            <w:vAlign w:val="center"/>
          </w:tcPr>
          <w:p>
            <w:pPr>
              <w:jc w:val="left"/>
            </w:pPr>
            <w:r>
              <w:rPr>
                <w:color w:val="1a202c"/>
                <w:sz w:val="21"/>
              </w:rPr>
              <w:t>Eleken</w:t>
            </w:r>
          </w:p>
        </w:tc>
        <w:tc>
          <w:tcPr>
            <w:vAlign w:val="center"/>
          </w:tcPr>
          <w:p>
            <w:pPr>
              <w:jc w:val="left"/>
            </w:pPr>
            <w:r>
              <w:rPr>
                <w:color w:val="1a202c"/>
                <w:sz w:val="21"/>
              </w:rPr>
              <w:t>Not publicly detailed</w:t>
            </w:r>
          </w:p>
        </w:tc>
        <w:tc>
          <w:tcPr>
            <w:vAlign w:val="center"/>
          </w:tcPr>
          <w:p>
            <w:pPr>
              <w:jc w:val="left"/>
            </w:pPr>
            <w:r>
              <w:rPr>
                <w:color w:val="1a202c"/>
                <w:sz w:val="21"/>
              </w:rPr>
              <w:t>Not specified</w:t>
            </w:r>
          </w:p>
        </w:tc>
        <w:tc>
          <w:tcPr>
            <w:vAlign w:val="center"/>
          </w:tcPr>
          <w:p>
            <w:pPr>
              <w:jc w:val="left"/>
            </w:pPr>
            <w:r>
              <w:rPr>
                <w:color w:val="1a202c"/>
                <w:sz w:val="21"/>
              </w:rPr>
              <w:t>Not specified</w:t>
            </w:r>
          </w:p>
        </w:tc>
      </w:tr>
      <w:tr>
        <w:tc>
          <w:tcPr>
            <w:vAlign w:val="center"/>
          </w:tcPr>
          <w:p>
            <w:pPr>
              <w:jc w:val="left"/>
            </w:pPr>
            <w:r>
              <w:rPr>
                <w:color w:val="1a202c"/>
                <w:sz w:val="21"/>
              </w:rPr>
              <w:t>Designjoy</w:t>
            </w:r>
          </w:p>
        </w:tc>
        <w:tc>
          <w:tcPr>
            <w:vAlign w:val="center"/>
          </w:tcPr>
          <w:p>
            <w:pPr>
              <w:jc w:val="left"/>
            </w:pPr>
            <w:r>
              <w:rPr>
                <w:color w:val="1a202c"/>
                <w:sz w:val="21"/>
              </w:rPr>
              <w:t>Not publicly detailed</w:t>
            </w:r>
          </w:p>
        </w:tc>
        <w:tc>
          <w:tcPr>
            <w:vAlign w:val="center"/>
          </w:tcPr>
          <w:p>
            <w:pPr>
              <w:jc w:val="left"/>
            </w:pPr>
            <w:r>
              <w:rPr>
                <w:color w:val="1a202c"/>
                <w:sz w:val="21"/>
              </w:rPr>
              <w:t>Not specified</w:t>
            </w:r>
          </w:p>
        </w:tc>
        <w:tc>
          <w:tcPr>
            <w:vAlign w:val="center"/>
          </w:tcPr>
          <w:p>
            <w:pPr>
              <w:jc w:val="left"/>
            </w:pPr>
            <w:r>
              <w:rPr>
                <w:color w:val="1a202c"/>
                <w:sz w:val="21"/>
              </w:rPr>
              <w:t>Not specified</w:t>
            </w:r>
          </w:p>
        </w:tc>
      </w:tr>
      <w:tr>
        <w:tc>
          <w:tcPr>
            <w:vAlign w:val="center"/>
          </w:tcPr>
          <w:p>
            <w:pPr>
              <w:jc w:val="left"/>
            </w:pPr>
            <w:r>
              <w:rPr>
                <w:color w:val="1a202c"/>
                <w:sz w:val="21"/>
              </w:rPr>
              <w:t>Clay</w:t>
            </w:r>
          </w:p>
        </w:tc>
        <w:tc>
          <w:tcPr>
            <w:vAlign w:val="center"/>
          </w:tcPr>
          <w:p>
            <w:pPr>
              <w:jc w:val="left"/>
            </w:pPr>
            <w:r>
              <w:rPr>
                <w:color w:val="1a202c"/>
                <w:sz w:val="21"/>
              </w:rPr>
              <w:t>Not publicly detailed</w:t>
            </w:r>
          </w:p>
        </w:tc>
        <w:tc>
          <w:tcPr>
            <w:vAlign w:val="center"/>
          </w:tcPr>
          <w:p>
            <w:pPr>
              <w:jc w:val="left"/>
            </w:pPr>
            <w:r>
              <w:rPr>
                <w:color w:val="1a202c"/>
                <w:sz w:val="21"/>
              </w:rPr>
              <w:t>Not specified</w:t>
            </w:r>
          </w:p>
        </w:tc>
        <w:tc>
          <w:tcPr>
            <w:vAlign w:val="center"/>
          </w:tcPr>
          <w:p>
            <w:pPr>
              <w:jc w:val="left"/>
            </w:pPr>
            <w:r>
              <w:rPr>
                <w:color w:val="1a202c"/>
                <w:sz w:val="21"/>
              </w:rPr>
              <w:t>Not specified</w:t>
            </w:r>
          </w:p>
        </w:tc>
      </w:tr>
      <w:tr>
        <w:tc>
          <w:tcPr>
            <w:vAlign w:val="center"/>
          </w:tcPr>
          <w:p>
            <w:pPr>
              <w:jc w:val="left"/>
            </w:pPr>
            <w:r>
              <w:rPr>
                <w:color w:val="1a202c"/>
                <w:sz w:val="21"/>
              </w:rPr>
              <w:t>Digital Silk</w:t>
            </w:r>
          </w:p>
        </w:tc>
        <w:tc>
          <w:tcPr>
            <w:vAlign w:val="center"/>
          </w:tcPr>
          <w:p>
            <w:pPr>
              <w:jc w:val="left"/>
            </w:pPr>
            <w:r>
              <w:rPr>
                <w:color w:val="1a202c"/>
                <w:sz w:val="21"/>
              </w:rPr>
              <w:t>Not publicly detailed</w:t>
            </w:r>
          </w:p>
        </w:tc>
        <w:tc>
          <w:tcPr>
            <w:vAlign w:val="center"/>
          </w:tcPr>
          <w:p>
            <w:pPr>
              <w:jc w:val="left"/>
            </w:pPr>
            <w:r>
              <w:rPr>
                <w:color w:val="1a202c"/>
                <w:sz w:val="21"/>
              </w:rPr>
              <w:t>Not specified</w:t>
            </w:r>
          </w:p>
        </w:tc>
        <w:tc>
          <w:tcPr>
            <w:vAlign w:val="center"/>
          </w:tcPr>
          <w:p>
            <w:pPr>
              <w:jc w:val="left"/>
            </w:pPr>
            <w:r>
              <w:rPr>
                <w:color w:val="1a202c"/>
                <w:sz w:val="21"/>
              </w:rPr>
              <w:t>Not specified</w:t>
            </w:r>
          </w:p>
        </w:tc>
      </w:tr>
      <w:tr>
        <w:tc>
          <w:tcPr>
            <w:vAlign w:val="center"/>
          </w:tcPr>
          <w:p>
            <w:pPr>
              <w:jc w:val="left"/>
            </w:pPr>
            <w:r>
              <w:rPr>
                <w:color w:val="1a202c"/>
                <w:sz w:val="21"/>
              </w:rPr>
              <w:t>NoDrftSystems</w:t>
            </w:r>
          </w:p>
        </w:tc>
        <w:tc>
          <w:tcPr>
            <w:vAlign w:val="center"/>
          </w:tcPr>
          <w:p>
            <w:pPr>
              <w:jc w:val="left"/>
            </w:pPr>
            <w:r>
              <w:rPr>
                <w:color w:val="1a202c"/>
                <w:sz w:val="21"/>
              </w:rPr>
              <w:t>Documented (SOPs)</w:t>
            </w:r>
          </w:p>
        </w:tc>
        <w:tc>
          <w:tcPr>
            <w:vAlign w:val="center"/>
          </w:tcPr>
          <w:p>
            <w:pPr>
              <w:jc w:val="left"/>
            </w:pPr>
            <w:r>
              <w:rPr>
                <w:color w:val="1a202c"/>
                <w:sz w:val="21"/>
              </w:rPr>
              <w:t>Multi-pass QA specified</w:t>
            </w:r>
          </w:p>
        </w:tc>
        <w:tc>
          <w:tcPr>
            <w:vAlign w:val="center"/>
          </w:tcPr>
          <w:p>
            <w:pPr>
              <w:jc w:val="left"/>
            </w:pPr>
            <w:r>
              <w:rPr>
                <w:color w:val="1a202c"/>
                <w:sz w:val="21"/>
              </w:rPr>
              <w:t>Fail-closed gates defined</w:t>
            </w:r>
          </w:p>
        </w:tc>
      </w:tr>
    </w:tbl>
    <w:p>
      <w:r>
        <w:br w:type="page"/>
      </w:r>
    </w:p>
    <w:p>
      <w:pPr>
        <w:pStyle w:val="Heading1"/>
      </w:pPr>
      <w:r>
        <w:t>Positioning Assessment</w:t>
      </w:r>
    </w:p>
    <w:p>
      <w:pPr>
        <w:pStyle w:val="Heading2"/>
      </w:pPr>
      <w:r>
        <w:t>NoDrftSystems Differentiation</w:t>
      </w:r>
    </w:p>
    <w:p>
      <w:pPr>
        <w:pStyle w:val="Heading3"/>
      </w:pPr>
      <w:r>
        <w:t>Structured Package Ladder</w:t>
      </w:r>
    </w:p>
    <w:p>
      <w:r>
        <w:t>NoDrftSystems appears more structured than competitors with a defined package ladder (Discovery Sprint, Conversion Landing Page, Launch Site, Authority Website, Platform Starter, Ecosystem Build). Most competitors either use custom scope (Clay, Digital Silk) or single-tier subscriptions (Designjoy, Eleken). Flowout offers tiered subscriptions but focused exclusively on Webflow.</w:t>
      </w:r>
    </w:p>
    <w:p>
      <w:pPr>
        <w:pStyle w:val="Heading3"/>
      </w:pPr>
      <w:r>
        <w:t>Delivery Governance</w:t>
      </w:r>
    </w:p>
    <w:p>
      <w:r>
        <w:t>NoDrftSystems appears stronger in delivery governance with documented multi-pass QA, fail-closed release gates, and Context-First Definition of Done. None of the analyzed competitors publicly document comparable quality control frameworks. This is a differentiation, though unverified against actual competitor internal processes.</w:t>
      </w:r>
    </w:p>
    <w:p>
      <w:pPr>
        <w:pStyle w:val="Heading3"/>
      </w:pPr>
      <w:r>
        <w:t>AI-Augmented Production</w:t>
      </w:r>
    </w:p>
    <w:p>
      <w:r>
        <w:t>Clay positions around AI-driven design but focuses on AI product features rather than internal production efficiency. NoDrftSystems' Centaur Organization model (human + AI synergy) appears differentiated, though superiority cannot be proven without visibility into competitor internal operations.</w:t>
      </w:r>
    </w:p>
    <w:p>
      <w:pPr>
        <w:pStyle w:val="Heading3"/>
      </w:pPr>
      <w:r>
        <w:t>Bilingual Capability</w:t>
      </w:r>
    </w:p>
    <w:p>
      <w:r>
        <w:t>NoDrftSystems' English/Spanish parity is specified as standard. None of the analyzed competitors explicitly position around bilingual delivery. This appears to be a differentiation for the U.S. LatAm market segment.</w:t>
      </w:r>
    </w:p>
    <w:p>
      <w:pPr>
        <w:pStyle w:val="Heading3"/>
      </w:pPr>
      <w:r>
        <w:t>Pricing Accessibility</w:t>
      </w:r>
    </w:p>
    <w:p>
      <w:r>
        <w:t>NoDrftSystems' entry point ($2,500 for Conversion Landing Page Sprint) is lower than subscription competitors (Flowout $5,900/mo, Eleken $3,799/mo, Designjoy $5,995/mo) and significantly lower than project-based competitors (Clay $50,000+, Digital Silk $7,500+). This positions NoDrftSystems as more accessible for initial engagement.</w:t>
      </w:r>
    </w:p>
    <w:p>
      <w:pPr>
        <w:pStyle w:val="Heading2"/>
      </w:pPr>
      <w:r>
        <w:t>Competitive Gaps</w:t>
      </w:r>
    </w:p>
    <w:p>
      <w:pPr>
        <w:pStyle w:val="Heading3"/>
      </w:pPr>
      <w:r>
        <w:t>Where Competitors Appear Stronger</w:t>
      </w:r>
    </w:p>
    <w:p>
      <w:pPr>
        <w:numPr>
          <w:ilvl w:val="0"/>
          <w:numId w:val="1"/>
        </w:numPr>
      </w:pPr>
      <w:r>
        <w:t>Client roster: Clay (Meta, Google, Uber) and Digital Silk (SONY, Amazon, Microsoft) have stronger brand recognition</w:t>
      </w:r>
    </w:p>
    <w:p>
      <w:pPr>
        <w:numPr>
          <w:ilvl w:val="0"/>
          <w:numId w:val="1"/>
        </w:numPr>
      </w:pPr>
      <w:r>
        <w:t>Team size: Flowout (50+), Eleken (100+), Clay (global offices) have larger teams</w:t>
      </w:r>
    </w:p>
    <w:p>
      <w:pPr>
        <w:numPr>
          <w:ilvl w:val="0"/>
          <w:numId w:val="1"/>
        </w:numPr>
      </w:pPr>
      <w:r>
        <w:t>Platform specialization: Flowout's Webflow Enterprise Partner status is a verified credential</w:t>
      </w:r>
    </w:p>
    <w:p>
      <w:pPr>
        <w:numPr>
          <w:ilvl w:val="0"/>
          <w:numId w:val="1"/>
        </w:numPr>
      </w:pPr>
      <w:r>
        <w:t>Track record: Designjoy's 7+ years and Eleken's 200+ SaaS projects demonstrate proven history</w:t>
      </w:r>
    </w:p>
    <w:p>
      <w:pPr>
        <w:pStyle w:val="Heading2"/>
      </w:pPr>
      <w:r>
        <w:t>Summary</w:t>
      </w:r>
    </w:p>
    <w:p>
      <w:r>
        <w:t>NoDrftSystems appears differentiated through structured package clarity, documented delivery governance, and accessible entry pricing. The Centaur Organization model and bilingual capability are positioning elements not prominently featured by analyzed competitors. However, competitors demonstrate stronger client rosters, larger teams, and longer track records. Direct superiority cannot be claimed; NoDrftSystems is positioned as a more structured, governed alternative with lower entry barriers.</w:t>
      </w:r>
    </w:p>
    <w:p>
      <w:pPr>
        <w:shd w:val="clear" w:fill="f7fafc"/>
        <w:ind w:left="360" w:right="360"/>
      </w:pPr>
      <w:r>
        <w:rPr>
          <w:i/>
          <w:color w:val="4a5568"/>
        </w:rPr>
        <w:t>Note: This analysis is based on publicly available information as of April 2026. Competitor capabilities, pricing, and positioning may have changed. Internal processes and actual delivery quality cannot be verified without direct engagement.</w:t>
      </w:r>
    </w:p>
    <w:sectPr>
      <w:headerReference w:type="default" r:id="Rbac307fd43454656"/>
      <w:footerReference w:type="default" r:id="Re599761bd5b24e6c"/>
      <w:pgSz w:w="11906" w:h="16838"/>
      <w:pgMar w:top="1440" w:right="1440" w:bottom="1440" w:left="1440" w:header="720" w:footer="720"/>
    </w:sectPr>
  </w:body>
</w:document>
</file>

<file path=word/footer1.xml><?xml version="1.0" encoding="utf-8"?>
<w:ftr xmlns:w="http://schemas.openxmlformats.org/wordprocessingml/2006/main">
  <w:p>
    <w:pPr>
      <w:jc w:val="center"/>
    </w:pPr>
    <w:r>
      <w:fldChar w:fldCharType="begin"/>
    </w:r>
    <w:r>
      <w:instrText> PAGE </w:instrText>
    </w:r>
    <w:r>
      <w:fldChar w:fldCharType="separate"/>
    </w:r>
    <w:r>
      <w:t>1</w:t>
    </w:r>
    <w:r>
      <w:fldChar w:fldCharType="end"/>
    </w:r>
    <w:r>
      <w:t xml:space="preserve"> / </w:t>
    </w:r>
    <w:r>
      <w:fldChar w:fldCharType="begin"/>
    </w:r>
    <w:r>
      <w:instrText> NUMPAGES </w:instrText>
    </w:r>
    <w:r>
      <w:fldChar w:fldCharType="separate"/>
    </w:r>
    <w:r>
      <w:t>1</w:t>
    </w:r>
    <w:r>
      <w:fldChar w:fldCharType="end"/>
    </w:r>
  </w:p>
</w:ftr>
</file>

<file path=word/header1.xml><?xml version="1.0" encoding="utf-8"?>
<w:hdr xmlns:w="http://schemas.openxmlformats.org/wordprocessingml/2006/main">
  <w:p>
    <w:pPr>
      <w:jc w:val="right"/>
    </w:pPr>
    <w:r>
      <w:rPr>
        <w:color w:val="718096"/>
        <w:sz w:val="18"/>
      </w:rPr>
      <w:t>NoDrftSystems</w:t>
    </w:r>
    <w:r>
      <w:rPr>
        <w:color w:val="1a365d"/>
        <w:sz w:val="18"/>
      </w:rPr>
      <w:t xml:space="preserve">  |  </w:t>
    </w:r>
    <w:r>
      <w:rPr>
        <w:color w:val="718096"/>
        <w:sz w:val="18"/>
      </w:rPr>
      <w:t>Competitor Analysis</w:t>
    </w:r>
  </w:p>
</w:hdr>
</file>

<file path=word/numbering.xml><?xml version="1.0" encoding="utf-8"?>
<w:numbering xmlns:w="http://schemas.openxmlformats.org/wordprocessingml/2006/main">
  <w:abstractNum w:abstractNumId="1">
    <w:lvl w:ilvl="0">
      <w:start w:val="1"/>
      <w:numFmt w:val="decimal"/>
      <w:lvlText w:val="%1."/>
      <w:pPr>
        <w:ind w:left="720" w:hanging="360"/>
      </w:pPr>
    </w:lvl>
  </w:abstractNum>
  <w:num w:numId="1">
    <w:abstractNumId w:val="1"/>
  </w:num>
</w:numbering>
</file>

<file path=word/styles.xml><?xml version="1.0" encoding="utf-8"?>
<w:styles xmlns:w="http://schemas.openxmlformats.org/wordprocessingml/2006/main">
  <w:style w:type="paragraph" w:styleId="Normal" w:default="true">
    <w:name w:val="Normal"/>
    <w:pPr>
      <w:spacing w:after="200" w:line="288" w:lineRule="auto"/>
    </w:pPr>
    <w:rPr>
      <w:rFonts w:ascii="Calibri" w:hAnsi="Calibri"/>
      <w:color w:val="1a202c"/>
      <w:sz w:val="22"/>
    </w:rPr>
  </w:style>
  <w:style w:type="paragraph" w:styleId="Heading1">
    <w:name w:val="heading 1"/>
    <w:basedOn w:val="Normal"/>
    <w:pPr>
      <w:keepNext/>
      <w:keepLines/>
      <w:spacing w:before="480" w:after="240"/>
      <w:outlineLvl w:val="0"/>
    </w:pPr>
    <w:rPr>
      <w:b/>
      <w:color w:val="1a365d"/>
      <w:sz w:val="36"/>
    </w:rPr>
  </w:style>
  <w:style w:type="paragraph" w:styleId="Heading2">
    <w:name w:val="heading 2"/>
    <w:basedOn w:val="Normal"/>
    <w:pPr>
      <w:keepNext/>
      <w:keepLines/>
      <w:spacing w:before="360" w:after="160"/>
      <w:outlineLvl w:val="1"/>
    </w:pPr>
    <w:rPr>
      <w:b/>
      <w:color w:val="2c5282"/>
      <w:sz w:val="28"/>
    </w:rPr>
  </w:style>
  <w:style w:type="paragraph" w:styleId="Heading3">
    <w:name w:val="heading 3"/>
    <w:basedOn w:val="Normal"/>
    <w:pPr>
      <w:keepNext/>
      <w:keepLines/>
      <w:spacing w:before="280" w:after="120"/>
      <w:outlineLvl w:val="2"/>
    </w:pPr>
    <w:rPr>
      <w:b/>
      <w:color w:val="4a5568"/>
      <w:sz w:val="24"/>
    </w:rPr>
  </w:style>
  <w:style w:type="paragraph" w:styleId="TOC1">
    <w:name w:val="toc 1"/>
    <w:basedOn w:val="Normal"/>
    <w:pPr>
      <w:tabs>
        <w:tab w:val="right" w:leader="dot" w:pos="9350"/>
      </w:tabs>
      <w:spacing w:before="200" w:after="60"/>
    </w:pPr>
    <w:rPr>
      <w:b/>
      <w:color w:val="1a202c"/>
    </w:rPr>
  </w:style>
  <w:style w:type="paragraph" w:styleId="TOC2">
    <w:name w:val="toc 2"/>
    <w:basedOn w:val="Normal"/>
    <w:pPr>
      <w:tabs>
        <w:tab w:val="right" w:leader="dot" w:pos="9350"/>
      </w:tabs>
      <w:spacing w:before="60" w:after="60"/>
      <w:ind w:left="360"/>
    </w:pPr>
    <w:rPr>
      <w:color w:val="4a5568"/>
    </w:rPr>
  </w:style>
</w:styles>
</file>

<file path=word/_rels/document.xml.rels><?xml version='1.0' encoding='UTF-8' standalone='yes'?>
<Relationships xmlns="http://schemas.openxmlformats.org/package/2006/relationships"><Relationship Id="R7ef7ebb3cf6e45e5" Type="http://schemas.openxmlformats.org/officeDocument/2006/relationships/styles" Target="styles.xml"/><Relationship Id="R9569b74a9283468a" Type="http://schemas.openxmlformats.org/officeDocument/2006/relationships/numbering" Target="numbering.xml"/><Relationship Id="Rbac307fd43454656" Type="http://schemas.openxmlformats.org/officeDocument/2006/relationships/header" Target="header1.xml"/><Relationship Id="Re599761bd5b24e6c" Type="http://schemas.openxmlformats.org/officeDocument/2006/relationships/footer" Target="footer1.xml"/></Relationships>
</file>