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5F"/>
          <w:sz w:val="56"/>
        </w:rPr>
        <w:t>NoDrftSystems</w:t>
      </w:r>
    </w:p>
    <w:p>
      <w:pPr>
        <w:jc w:val="center"/>
      </w:pPr>
      <w:r>
        <w:rPr>
          <w:color w:val="1E3A5F"/>
          <w:sz w:val="36"/>
        </w:rPr>
        <w:t>2026 Business Plan and Operational Blueprint</w:t>
      </w:r>
    </w:p>
    <w:p>
      <w:pPr>
        <w:jc w:val="center"/>
      </w:pPr>
      <w:r>
        <w:rPr>
          <w:i/>
          <w:color w:val="5C6B7B"/>
          <w:sz w:val="24"/>
        </w:rPr>
        <w:t>Precision-Engineered · AI-Integrated · Human-Governed</w:t>
      </w:r>
    </w:p>
    <w:p/>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Version:</w:t>
            </w:r>
          </w:p>
        </w:tc>
        <w:tc>
          <w:tcPr>
            <w:tcW w:type="dxa" w:w="4320"/>
          </w:tcPr>
          <w:p>
            <w:r>
              <w:t>2.0 - Updated &amp; Aligned</w:t>
            </w:r>
          </w:p>
        </w:tc>
      </w:tr>
      <w:tr>
        <w:tc>
          <w:tcPr>
            <w:tcW w:type="dxa" w:w="4320"/>
            <w:shd w:fill="E8EEF4"/>
          </w:tcPr>
          <w:p>
            <w:r>
              <w:rPr>
                <w:b/>
              </w:rPr>
              <w:t>Date:</w:t>
            </w:r>
          </w:p>
        </w:tc>
        <w:tc>
          <w:tcPr>
            <w:tcW w:type="dxa" w:w="4320"/>
          </w:tcPr>
          <w:p>
            <w:r>
              <w:t>April 2026</w:t>
            </w:r>
          </w:p>
        </w:tc>
      </w:tr>
      <w:tr>
        <w:tc>
          <w:tcPr>
            <w:tcW w:type="dxa" w:w="4320"/>
            <w:shd w:fill="E8EEF4"/>
          </w:tcPr>
          <w:p>
            <w:r>
              <w:rPr>
                <w:b/>
              </w:rPr>
              <w:t>Classification:</w:t>
            </w:r>
          </w:p>
        </w:tc>
        <w:tc>
          <w:tcPr>
            <w:tcW w:type="dxa" w:w="4320"/>
          </w:tcPr>
          <w:p>
            <w:r>
              <w:t>Confidential</w:t>
            </w:r>
          </w:p>
        </w:tc>
      </w:tr>
      <w:tr>
        <w:tc>
          <w:tcPr>
            <w:tcW w:type="dxa" w:w="4320"/>
            <w:shd w:fill="E8EEF4"/>
          </w:tcPr>
          <w:p>
            <w:r>
              <w:rPr>
                <w:b/>
              </w:rPr>
              <w:t>Status:</w:t>
            </w:r>
          </w:p>
        </w:tc>
        <w:tc>
          <w:tcPr>
            <w:tcW w:type="dxa" w:w="4320"/>
          </w:tcPr>
          <w:p>
            <w:r>
              <w:t>Active - Post-Gap Analysis</w:t>
            </w:r>
          </w:p>
        </w:tc>
      </w:tr>
      <w:tr>
        <w:tc>
          <w:tcPr>
            <w:tcW w:type="dxa" w:w="4320"/>
            <w:shd w:fill="E8EEF4"/>
          </w:tcPr>
          <w:p>
            <w:r>
              <w:rPr>
                <w:b/>
              </w:rPr>
              <w:t>Related Documents:</w:t>
            </w:r>
          </w:p>
        </w:tc>
        <w:tc>
          <w:tcPr>
            <w:tcW w:type="dxa" w:w="4320"/>
          </w:tcPr>
          <w:p>
            <w:r>
              <w:t>Addendums 1-19</w:t>
            </w:r>
          </w:p>
        </w:tc>
      </w:tr>
    </w:tbl>
    <w:p>
      <w:r>
        <w:br w:type="page"/>
      </w:r>
    </w:p>
    <w:p>
      <w:pPr>
        <w:pStyle w:val="Heading1"/>
      </w:pPr>
      <w:r>
        <w:rPr>
          <w:b/>
          <w:color w:val="1E3A5F"/>
          <w:sz w:val="32"/>
        </w:rPr>
        <w:t>1. EXECUTIVE SUMMARY</w:t>
      </w:r>
    </w:p>
    <w:p>
      <w:pPr>
        <w:pStyle w:val="Heading2"/>
      </w:pPr>
      <w:r>
        <w:rPr>
          <w:b/>
          <w:color w:val="1E3A5F"/>
          <w:sz w:val="26"/>
        </w:rPr>
        <w:t>The Centaur Organization</w:t>
      </w:r>
    </w:p>
    <w:p>
      <w:pPr>
        <w:spacing w:after="120"/>
      </w:pPr>
      <w:r>
        <w:rPr>
          <w:b w:val="0"/>
          <w:i w:val="0"/>
          <w:color w:val="2C3E50"/>
          <w:sz w:val="22"/>
        </w:rPr>
        <w:t>NoDrftSystems operates as a Centaur Organization—a hybrid entity where human strategic oversight merges with AI agent execution under a three-tier supervisor architecture. Unlike traditional agencies that deploy AI as a peripheral tool, we embed AI agents as core staff members with defined roles, KPIs, tool stacks, and human oversight protocols governed by the Tier 1 Supervisor Layer.</w:t>
      </w:r>
    </w:p>
    <w:p>
      <w:pPr>
        <w:pStyle w:val="Heading2"/>
      </w:pPr>
      <w:r>
        <w:rPr>
          <w:b/>
          <w:color w:val="1E3A5F"/>
          <w:sz w:val="26"/>
        </w:rPr>
        <w:t>Structural Arbitrage</w:t>
      </w:r>
    </w:p>
    <w:tbl>
      <w:tblPr>
        <w:tblStyle w:val="TableGrid"/>
        <w:tblW w:type="auto" w:w="0"/>
        <w:tblLook w:firstColumn="1" w:firstRow="1" w:lastColumn="0" w:lastRow="0" w:noHBand="0" w:noVBand="1" w:val="04A0"/>
      </w:tblPr>
      <w:tblGrid>
        <w:gridCol w:w="4320"/>
        <w:gridCol w:w="4320"/>
      </w:tblGrid>
      <w:tr>
        <w:tc>
          <w:tcPr>
            <w:tcW w:type="dxa" w:w="4320"/>
            <w:shd w:fill="F5F5F5"/>
          </w:tcPr>
          <w:p>
            <w:r>
              <w:rPr>
                <w:b/>
              </w:rPr>
              <w:t>Colombian Local Talent:</w:t>
            </w:r>
          </w:p>
        </w:tc>
        <w:tc>
          <w:tcPr>
            <w:tcW w:type="dxa" w:w="4320"/>
          </w:tcPr>
          <w:p>
            <w:r>
              <w:t>$750–$1,250 USD/month (mid-to-senior level)</w:t>
            </w:r>
          </w:p>
        </w:tc>
      </w:tr>
      <w:tr>
        <w:tc>
          <w:tcPr>
            <w:tcW w:type="dxa" w:w="4320"/>
            <w:shd w:fill="F5F5F5"/>
          </w:tcPr>
          <w:p>
            <w:r>
              <w:rPr>
                <w:b/>
              </w:rPr>
              <w:t>AI Agent Orchestration:</w:t>
            </w:r>
          </w:p>
        </w:tc>
        <w:tc>
          <w:tcPr>
            <w:tcW w:type="dxa" w:w="4320"/>
          </w:tcPr>
          <w:p>
            <w:r>
              <w:t>~$2,770 USD/month (40 specialized agents)</w:t>
            </w:r>
          </w:p>
        </w:tc>
      </w:tr>
      <w:tr>
        <w:tc>
          <w:tcPr>
            <w:tcW w:type="dxa" w:w="4320"/>
            <w:shd w:fill="F5F5F5"/>
          </w:tcPr>
          <w:p>
            <w:r>
              <w:rPr>
                <w:b/>
              </w:rPr>
              <w:t>Combined Output:</w:t>
            </w:r>
          </w:p>
        </w:tc>
        <w:tc>
          <w:tcPr>
            <w:tcW w:type="dxa" w:w="4320"/>
          </w:tcPr>
          <w:p>
            <w:r>
              <w:t>$4,000+ USD equivalent productivity per human-AI pod</w:t>
            </w:r>
          </w:p>
        </w:tc>
      </w:tr>
      <w:tr>
        <w:tc>
          <w:tcPr>
            <w:tcW w:type="dxa" w:w="4320"/>
            <w:shd w:fill="F5F5F5"/>
          </w:tcPr>
          <w:p>
            <w:r>
              <w:rPr>
                <w:b/>
              </w:rPr>
              <w:t>Target Gross Margin:</w:t>
            </w:r>
          </w:p>
        </w:tc>
        <w:tc>
          <w:tcPr>
            <w:tcW w:type="dxa" w:w="4320"/>
          </w:tcPr>
          <w:p>
            <w:r>
              <w:t>75%+ (validated by AI labor reduction of 50–60%)</w:t>
            </w:r>
          </w:p>
        </w:tc>
      </w:tr>
      <w:tr>
        <w:tc>
          <w:tcPr>
            <w:tcW w:type="dxa" w:w="4320"/>
          </w:tcPr>
          <w:p/>
        </w:tc>
        <w:tc>
          <w:tcPr>
            <w:tcW w:type="dxa" w:w="4320"/>
          </w:tcPr>
          <w:p/>
        </w:tc>
      </w:tr>
    </w:tbl>
    <w:p/>
    <w:p>
      <w:pPr>
        <w:pStyle w:val="Heading2"/>
      </w:pPr>
      <w:r>
        <w:rPr>
          <w:b/>
          <w:color w:val="1E3A5F"/>
          <w:sz w:val="26"/>
        </w:rPr>
        <w:t>Immediate Market Position</w:t>
      </w:r>
    </w:p>
    <w:p>
      <w:pPr>
        <w:spacing w:after="120"/>
      </w:pPr>
      <w:r>
        <w:rPr>
          <w:b w:val="0"/>
          <w:i w:val="0"/>
          <w:color w:val="2C3E50"/>
          <w:sz w:val="22"/>
        </w:rPr>
        <w:t>We launch with four validated portfolio assets—CasaClara (PropTech), RepairForge (Services AI), Peak Optimizer Pro (Real Estate Investment), and The Walcott Co &amp; Press (Publishing)—eliminating the cold-start credibility gap. Our $15,000 seed capital funds 5+ months of runway to cash-flow positive when paired with rigorous client qualification protocols.</w:t>
      </w:r>
    </w:p>
    <w:p/>
    <w:p>
      <w:pPr>
        <w:pStyle w:val="Heading2"/>
      </w:pPr>
      <w:r>
        <w:rPr>
          <w:b/>
          <w:color w:val="1E3A5F"/>
          <w:sz w:val="26"/>
        </w:rPr>
        <w:t>The Non-Negotiables</w:t>
      </w:r>
    </w:p>
    <w:p>
      <w:pPr>
        <w:pStyle w:val="ListBullet"/>
        <w:ind w:left="720"/>
      </w:pPr>
      <w:r>
        <w:rPr>
          <w:sz w:val="22"/>
        </w:rPr>
        <w:t>AI Reliability Engineer (ARE) is the first hire—without this human validation layer, AI agents produce "drift" (technically functional code that fails business objectives).</w:t>
      </w:r>
    </w:p>
    <w:p>
      <w:pPr>
        <w:pStyle w:val="ListBullet"/>
        <w:ind w:left="720"/>
      </w:pPr>
      <w:r>
        <w:rPr>
          <w:sz w:val="22"/>
        </w:rPr>
        <w:t>Price in USD, Deliver in COP—maintain currency arbitrage; never invoice U.S. clients in pesos.</w:t>
      </w:r>
    </w:p>
    <w:p>
      <w:pPr>
        <w:pStyle w:val="ListBullet"/>
        <w:ind w:left="720"/>
      </w:pPr>
      <w:r>
        <w:rPr>
          <w:sz w:val="22"/>
        </w:rPr>
        <w:t>Close First Client in 60 Days—revenue validation trumps perfect systems.</w:t>
      </w:r>
    </w:p>
    <w:p>
      <w:pPr>
        <w:pStyle w:val="ListBullet"/>
        <w:ind w:left="720"/>
      </w:pPr>
      <w:r>
        <w:rPr>
          <w:sz w:val="22"/>
        </w:rPr>
        <w:t>Zero Drift Client Protocol—one misqualified client bankrupts a $15K seed-stage company; rigorous qualification is mandatory (see Addendum 5: Client Evaluation Scorecard).</w:t>
      </w:r>
    </w:p>
    <w:p>
      <w:pPr>
        <w:pStyle w:val="ListBullet"/>
        <w:ind w:left="720"/>
      </w:pPr>
      <w:r>
        <w:rPr>
          <w:sz w:val="22"/>
        </w:rPr>
        <w:t>Human Authority is Non-Delegable—AI agents produce, review, recommend, and prepare. They do not authorize. No agent signs, sends to clients, or deploys to production without documented human approval (see Addendum 18: Human Handoff Protocol).</w:t>
      </w:r>
    </w:p>
    <w:p>
      <w:r>
        <w:br w:type="page"/>
      </w:r>
    </w:p>
    <w:p>
      <w:pPr>
        <w:pStyle w:val="Heading1"/>
      </w:pPr>
      <w:r>
        <w:rPr>
          <w:b/>
          <w:color w:val="1E3A5F"/>
          <w:sz w:val="32"/>
        </w:rPr>
        <w:t>2. VISION, MISSION &amp; CORE VALUES</w:t>
      </w:r>
    </w:p>
    <w:p>
      <w:pPr>
        <w:pStyle w:val="Heading2"/>
      </w:pPr>
      <w:r>
        <w:rPr>
          <w:b/>
          <w:color w:val="1E3A5F"/>
          <w:sz w:val="26"/>
        </w:rPr>
        <w:t>Vision</w:t>
      </w:r>
    </w:p>
    <w:p>
      <w:pPr>
        <w:spacing w:after="120"/>
      </w:pPr>
      <w:r>
        <w:rPr>
          <w:b w:val="0"/>
          <w:i w:val="0"/>
          <w:color w:val="2C3E50"/>
          <w:sz w:val="22"/>
        </w:rPr>
        <w:t>To become the most trusted precision-engineering firm for digital systems in the Americas—where zero drift is not a slogan but a measurable standard enforced by the three-tier AI architecture with human governance.</w:t>
      </w:r>
    </w:p>
    <w:p>
      <w:pPr>
        <w:pStyle w:val="Heading2"/>
      </w:pPr>
      <w:r>
        <w:rPr>
          <w:b/>
          <w:color w:val="1E3A5F"/>
          <w:sz w:val="26"/>
        </w:rPr>
        <w:t>Mission</w:t>
      </w:r>
    </w:p>
    <w:p>
      <w:pPr>
        <w:spacing w:after="120"/>
      </w:pPr>
      <w:r>
        <w:rPr>
          <w:b w:val="0"/>
          <w:i w:val="0"/>
          <w:color w:val="2C3E50"/>
          <w:sz w:val="22"/>
        </w:rPr>
        <w:t>To design and develop modern digital ecosystems—websites, applications, and integrated software solutions—that improve operational efficiency, strengthen market presence, and achieve sustainable, compounding growth through AI-augmented delivery with human validation.</w:t>
      </w:r>
    </w:p>
    <w:p>
      <w:pPr>
        <w:pStyle w:val="Heading2"/>
      </w:pPr>
      <w:r>
        <w:rPr>
          <w:b/>
          <w:color w:val="1E3A5F"/>
          <w:sz w:val="26"/>
        </w:rPr>
        <w:t>Core Values</w:t>
      </w:r>
    </w:p>
    <w:p>
      <w:pPr>
        <w:spacing w:after="160"/>
      </w:pPr>
      <w:r>
        <w:rPr>
          <w:b/>
        </w:rPr>
        <w:t xml:space="preserve">Zero Drift: </w:t>
      </w:r>
      <w:r>
        <w:rPr>
          <w:sz w:val="22"/>
        </w:rPr>
        <w:t>Every output is intentional, accurate, and aligned with client objectives. No hallucination. No scope creep. Enforced by the QAS (QA Supervisor) agent.</w:t>
      </w:r>
    </w:p>
    <w:p>
      <w:pPr>
        <w:spacing w:after="160"/>
      </w:pPr>
      <w:r>
        <w:rPr>
          <w:b/>
        </w:rPr>
        <w:t xml:space="preserve">Human + AI Synergy: </w:t>
      </w:r>
      <w:r>
        <w:rPr>
          <w:sz w:val="22"/>
        </w:rPr>
        <w:t>The speed and scale of AI combined with the judgment and creativity of humans. Neither replaced; both amplified. Governed by the Tier 1 Supervisor Layer.</w:t>
      </w:r>
    </w:p>
    <w:p>
      <w:pPr>
        <w:spacing w:after="160"/>
      </w:pPr>
      <w:r>
        <w:rPr>
          <w:b/>
        </w:rPr>
        <w:t xml:space="preserve">Transparent Value: </w:t>
      </w:r>
      <w:r>
        <w:rPr>
          <w:sz w:val="22"/>
        </w:rPr>
        <w:t>Clients always understand what they are getting, why it costs what it costs, and how it drives ROI.</w:t>
      </w:r>
    </w:p>
    <w:p>
      <w:pPr>
        <w:spacing w:after="160"/>
      </w:pPr>
      <w:r>
        <w:rPr>
          <w:b/>
        </w:rPr>
        <w:t xml:space="preserve">Security &amp; IP Integrity: </w:t>
      </w:r>
      <w:r>
        <w:rPr>
          <w:sz w:val="22"/>
        </w:rPr>
        <w:t>Enterprise-grade protection for data, code provenance, and intellectual property. Managed by SCA (Security/Compliance Agent) and IPGA (IP Guardian Agent).</w:t>
      </w:r>
    </w:p>
    <w:p>
      <w:pPr>
        <w:spacing w:after="160"/>
      </w:pPr>
      <w:r>
        <w:rPr>
          <w:b/>
        </w:rPr>
        <w:t xml:space="preserve">Risk-Asymmetry Awareness: </w:t>
      </w:r>
      <w:r>
        <w:rPr>
          <w:sz w:val="22"/>
        </w:rPr>
        <w:t>We price for uncertainty, qualify for fit, and maintain kill switches to protect margin and morale.</w:t>
      </w:r>
    </w:p>
    <w:p>
      <w:r>
        <w:br w:type="page"/>
      </w:r>
    </w:p>
    <w:p>
      <w:pPr>
        <w:pStyle w:val="Heading1"/>
      </w:pPr>
      <w:r>
        <w:rPr>
          <w:b/>
          <w:color w:val="1E3A5F"/>
          <w:sz w:val="32"/>
        </w:rPr>
        <w:t>3. THE CENTAUR MODEL: HUMAN + AI STAFF ARCHITECTURE</w:t>
      </w:r>
    </w:p>
    <w:p>
      <w:pPr>
        <w:pStyle w:val="Heading2"/>
      </w:pPr>
      <w:r>
        <w:rPr>
          <w:b/>
          <w:color w:val="1E3A5F"/>
          <w:sz w:val="26"/>
        </w:rPr>
        <w:t>3.1 Philosophy</w:t>
      </w:r>
    </w:p>
    <w:p>
      <w:pPr>
        <w:spacing w:after="120"/>
      </w:pPr>
      <w:r>
        <w:rPr>
          <w:b w:val="0"/>
          <w:i w:val="0"/>
          <w:color w:val="2C3E50"/>
          <w:sz w:val="22"/>
        </w:rPr>
        <w:t>The Centaur Model divides labor along cognitive lines:</w:t>
      </w:r>
    </w:p>
    <w:p>
      <w:pPr>
        <w:pStyle w:val="ListBullet"/>
        <w:ind w:left="720"/>
      </w:pPr>
      <w:r>
        <w:rPr>
          <w:sz w:val="22"/>
        </w:rPr>
        <w:t>AI Agents: Handle high-volume, pattern-based, and research-intensive tasks (data enrichment, code scaffolding, content generation, security scanning). Governed by the Master Orchestrator Agent (MOA).</w:t>
      </w:r>
    </w:p>
    <w:p>
      <w:pPr>
        <w:pStyle w:val="ListBullet"/>
        <w:ind w:left="720"/>
      </w:pPr>
      <w:r>
        <w:rPr>
          <w:sz w:val="22"/>
        </w:rPr>
        <w:t>Human Team: Handles strategic ambiguity, client relationships, ethical judgment, final quality assurance, and liability-bearing decisions.</w:t>
      </w:r>
    </w:p>
    <w:p>
      <w:pPr>
        <w:spacing w:after="120"/>
      </w:pPr>
      <w:r>
        <w:rPr>
          <w:b w:val="0"/>
          <w:i w:val="0"/>
          <w:color w:val="2C3E50"/>
          <w:sz w:val="22"/>
        </w:rPr>
        <w:t>Critical Protocol: Every AI agent output requires human validation before client delivery. The AI Reliability Engineer (ARE) maintains a 95%+ defect capture rate and enforces the Context-First Definition of Done.</w:t>
      </w:r>
    </w:p>
    <w:p/>
    <w:p>
      <w:pPr>
        <w:pStyle w:val="Heading2"/>
      </w:pPr>
      <w:r>
        <w:rPr>
          <w:b/>
          <w:color w:val="1E3A5F"/>
          <w:sz w:val="26"/>
        </w:rPr>
        <w:t>3.2 Three-Tier AI Architecture</w:t>
      </w:r>
    </w:p>
    <w:p>
      <w:pPr>
        <w:spacing w:after="120"/>
      </w:pPr>
      <w:r>
        <w:rPr>
          <w:b w:val="0"/>
          <w:i w:val="0"/>
          <w:color w:val="2C3E50"/>
          <w:sz w:val="22"/>
        </w:rPr>
        <w:t>NoDrftSystems operates a three-tier AI architecture with supervisor governance (see Addendum 14 for complete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rPr>
              <w:t>Tier</w:t>
            </w:r>
          </w:p>
        </w:tc>
        <w:tc>
          <w:tcPr>
            <w:tcW w:type="dxa" w:w="2160"/>
            <w:shd w:fill="1E3A5F"/>
          </w:tcPr>
          <w:p>
            <w:r>
              <w:rPr>
                <w:b/>
                <w:color w:val="FFFFFF"/>
              </w:rPr>
              <w:t>Agent Count</w:t>
            </w:r>
          </w:p>
        </w:tc>
        <w:tc>
          <w:tcPr>
            <w:tcW w:type="dxa" w:w="2160"/>
            <w:shd w:fill="1E3A5F"/>
          </w:tcPr>
          <w:p>
            <w:r>
              <w:rPr>
                <w:b/>
                <w:color w:val="FFFFFF"/>
              </w:rPr>
              <w:t>Function</w:t>
            </w:r>
          </w:p>
        </w:tc>
        <w:tc>
          <w:tcPr>
            <w:tcW w:type="dxa" w:w="2160"/>
            <w:shd w:fill="1E3A5F"/>
          </w:tcPr>
          <w:p>
            <w:r>
              <w:rPr>
                <w:b/>
                <w:color w:val="FFFFFF"/>
              </w:rPr>
              <w:t>Est. Monthly Cost</w:t>
            </w:r>
          </w:p>
        </w:tc>
      </w:tr>
      <w:tr>
        <w:tc>
          <w:tcPr>
            <w:tcW w:type="dxa" w:w="2160"/>
          </w:tcPr>
          <w:p>
            <w:r>
              <w:t>Tier 1: Supervisor</w:t>
            </w:r>
          </w:p>
        </w:tc>
        <w:tc>
          <w:tcPr>
            <w:tcW w:type="dxa" w:w="2160"/>
          </w:tcPr>
          <w:p>
            <w:pPr>
              <w:jc w:val="center"/>
            </w:pPr>
            <w:r>
              <w:t>4</w:t>
            </w:r>
          </w:p>
        </w:tc>
        <w:tc>
          <w:tcPr>
            <w:tcW w:type="dxa" w:w="2160"/>
          </w:tcPr>
          <w:p>
            <w:r>
              <w:t>Orchestration, QA, Context, Handoff</w:t>
            </w:r>
          </w:p>
        </w:tc>
        <w:tc>
          <w:tcPr>
            <w:tcW w:type="dxa" w:w="2160"/>
          </w:tcPr>
          <w:p>
            <w:pPr>
              <w:jc w:val="right"/>
            </w:pPr>
            <w:r>
              <w:t>$390</w:t>
            </w:r>
          </w:p>
        </w:tc>
      </w:tr>
      <w:tr>
        <w:tc>
          <w:tcPr>
            <w:tcW w:type="dxa" w:w="2160"/>
          </w:tcPr>
          <w:p>
            <w:r>
              <w:t>Tier 2: Domain Execution</w:t>
            </w:r>
          </w:p>
        </w:tc>
        <w:tc>
          <w:tcPr>
            <w:tcW w:type="dxa" w:w="2160"/>
          </w:tcPr>
          <w:p>
            <w:pPr>
              <w:jc w:val="center"/>
            </w:pPr>
            <w:r>
              <w:t>32</w:t>
            </w:r>
          </w:p>
        </w:tc>
        <w:tc>
          <w:tcPr>
            <w:tcW w:type="dxa" w:w="2160"/>
          </w:tcPr>
          <w:p>
            <w:r>
              <w:t>Revenue, Marketing, Delivery, Quality, Client Success, Finance, Intelligence</w:t>
            </w:r>
          </w:p>
        </w:tc>
        <w:tc>
          <w:tcPr>
            <w:tcW w:type="dxa" w:w="2160"/>
          </w:tcPr>
          <w:p>
            <w:pPr>
              <w:jc w:val="right"/>
            </w:pPr>
            <w:r>
              <w:t>$2,160</w:t>
            </w:r>
          </w:p>
        </w:tc>
      </w:tr>
      <w:tr>
        <w:tc>
          <w:tcPr>
            <w:tcW w:type="dxa" w:w="2160"/>
          </w:tcPr>
          <w:p>
            <w:r>
              <w:t>Tier 3: Specialist</w:t>
            </w:r>
          </w:p>
        </w:tc>
        <w:tc>
          <w:tcPr>
            <w:tcW w:type="dxa" w:w="2160"/>
          </w:tcPr>
          <w:p>
            <w:pPr>
              <w:jc w:val="center"/>
            </w:pPr>
            <w:r>
              <w:t>4</w:t>
            </w:r>
          </w:p>
        </w:tc>
        <w:tc>
          <w:tcPr>
            <w:tcW w:type="dxa" w:w="2160"/>
          </w:tcPr>
          <w:p>
            <w:r>
              <w:t>On-demand specialists (Contract, Transcreation, etc.)</w:t>
            </w:r>
          </w:p>
        </w:tc>
        <w:tc>
          <w:tcPr>
            <w:tcW w:type="dxa" w:w="2160"/>
          </w:tcPr>
          <w:p>
            <w:pPr>
              <w:jc w:val="right"/>
            </w:pPr>
            <w:r>
              <w:t>$130</w:t>
            </w:r>
          </w:p>
        </w:tc>
      </w:tr>
    </w:tbl>
    <w:p>
      <w:pPr>
        <w:spacing w:after="120"/>
      </w:pPr>
      <w:r>
        <w:rPr>
          <w:b/>
          <w:i w:val="0"/>
          <w:color w:val="2C3E50"/>
          <w:sz w:val="22"/>
        </w:rPr>
        <w:t>Total AI Staff Cost: ~$2,770/month (~$33,240/year)</w:t>
      </w:r>
    </w:p>
    <w:p>
      <w:pPr>
        <w:spacing w:after="120"/>
      </w:pPr>
      <w:r>
        <w:rPr>
          <w:b w:val="0"/>
          <w:i/>
          <w:color w:val="2C3E50"/>
          <w:sz w:val="22"/>
        </w:rPr>
        <w:t>Note: This represents expansion from the original 10-agent stack. Implementation follows a 4-wave deployment over 6 months (see Addendum 19).</w:t>
      </w:r>
    </w:p>
    <w:p/>
    <w:p>
      <w:pPr>
        <w:pStyle w:val="Heading2"/>
      </w:pPr>
      <w:r>
        <w:rPr>
          <w:b/>
          <w:color w:val="1E3A5F"/>
          <w:sz w:val="26"/>
        </w:rPr>
        <w:t>3.3 Tier 1 Supervisor Agents (Critical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EF4"/>
          </w:tcPr>
          <w:p>
            <w:r>
              <w:rPr>
                <w:b/>
              </w:rPr>
              <w:t>Agent</w:t>
            </w:r>
          </w:p>
        </w:tc>
        <w:tc>
          <w:tcPr>
            <w:tcW w:type="dxa" w:w="2160"/>
            <w:shd w:fill="E8EEF4"/>
          </w:tcPr>
          <w:p>
            <w:r>
              <w:rPr>
                <w:b/>
              </w:rPr>
              <w:t>Role</w:t>
            </w:r>
          </w:p>
        </w:tc>
        <w:tc>
          <w:tcPr>
            <w:tcW w:type="dxa" w:w="2160"/>
            <w:shd w:fill="E8EEF4"/>
          </w:tcPr>
          <w:p>
            <w:r>
              <w:rPr>
                <w:b/>
              </w:rPr>
              <w:t>Key Function</w:t>
            </w:r>
          </w:p>
        </w:tc>
        <w:tc>
          <w:tcPr>
            <w:tcW w:type="dxa" w:w="2160"/>
            <w:shd w:fill="E8EEF4"/>
          </w:tcPr>
          <w:p>
            <w:r>
              <w:rPr>
                <w:b/>
              </w:rPr>
              <w:t>Est. Cost</w:t>
            </w:r>
          </w:p>
        </w:tc>
      </w:tr>
      <w:tr>
        <w:tc>
          <w:tcPr>
            <w:tcW w:type="dxa" w:w="2160"/>
          </w:tcPr>
          <w:p>
            <w:r>
              <w:rPr>
                <w:b/>
              </w:rPr>
              <w:t>MOA</w:t>
            </w:r>
          </w:p>
        </w:tc>
        <w:tc>
          <w:tcPr>
            <w:tcW w:type="dxa" w:w="2160"/>
          </w:tcPr>
          <w:p>
            <w:r>
              <w:t>Master Orchestrator</w:t>
            </w:r>
          </w:p>
        </w:tc>
        <w:tc>
          <w:tcPr>
            <w:tcW w:type="dxa" w:w="2160"/>
          </w:tcPr>
          <w:p>
            <w:r>
              <w:t>Routes tasks, sequences workflows, monitors scope drift</w:t>
            </w:r>
          </w:p>
        </w:tc>
        <w:tc>
          <w:tcPr>
            <w:tcW w:type="dxa" w:w="2160"/>
          </w:tcPr>
          <w:p>
            <w:r>
              <w:t>$150/mo</w:t>
            </w:r>
          </w:p>
        </w:tc>
      </w:tr>
      <w:tr>
        <w:tc>
          <w:tcPr>
            <w:tcW w:type="dxa" w:w="2160"/>
          </w:tcPr>
          <w:p>
            <w:r>
              <w:rPr>
                <w:b/>
              </w:rPr>
              <w:t>QAS</w:t>
            </w:r>
          </w:p>
        </w:tc>
        <w:tc>
          <w:tcPr>
            <w:tcW w:type="dxa" w:w="2160"/>
          </w:tcPr>
          <w:p>
            <w:r>
              <w:t>QA Supervisor</w:t>
            </w:r>
          </w:p>
        </w:tc>
        <w:tc>
          <w:tcPr>
            <w:tcW w:type="dxa" w:w="2160"/>
          </w:tcPr>
          <w:p>
            <w:r>
              <w:t>Enforces Multi-Pass QA, blocks release on Critical defects</w:t>
            </w:r>
          </w:p>
        </w:tc>
        <w:tc>
          <w:tcPr>
            <w:tcW w:type="dxa" w:w="2160"/>
          </w:tcPr>
          <w:p>
            <w:r>
              <w:t>$100/mo</w:t>
            </w:r>
          </w:p>
        </w:tc>
      </w:tr>
      <w:tr>
        <w:tc>
          <w:tcPr>
            <w:tcW w:type="dxa" w:w="2160"/>
          </w:tcPr>
          <w:p>
            <w:r>
              <w:rPr>
                <w:b/>
              </w:rPr>
              <w:t>CSM</w:t>
            </w:r>
          </w:p>
        </w:tc>
        <w:tc>
          <w:tcPr>
            <w:tcW w:type="dxa" w:w="2160"/>
          </w:tcPr>
          <w:p>
            <w:r>
              <w:t>Context &amp; State Manager</w:t>
            </w:r>
          </w:p>
        </w:tc>
        <w:tc>
          <w:tcPr>
            <w:tcW w:type="dxa" w:w="2160"/>
          </w:tcPr>
          <w:p>
            <w:r>
              <w:t>Maintains project state, produces context packages</w:t>
            </w:r>
          </w:p>
        </w:tc>
        <w:tc>
          <w:tcPr>
            <w:tcW w:type="dxa" w:w="2160"/>
          </w:tcPr>
          <w:p>
            <w:r>
              <w:t>$80/mo</w:t>
            </w:r>
          </w:p>
        </w:tc>
      </w:tr>
      <w:tr>
        <w:tc>
          <w:tcPr>
            <w:tcW w:type="dxa" w:w="2160"/>
          </w:tcPr>
          <w:p>
            <w:r>
              <w:rPr>
                <w:b/>
              </w:rPr>
              <w:t>HHC</w:t>
            </w:r>
          </w:p>
        </w:tc>
        <w:tc>
          <w:tcPr>
            <w:tcW w:type="dxa" w:w="2160"/>
          </w:tcPr>
          <w:p>
            <w:r>
              <w:t>Human Handoff Coordinator</w:t>
            </w:r>
          </w:p>
        </w:tc>
        <w:tc>
          <w:tcPr>
            <w:tcW w:type="dxa" w:w="2160"/>
          </w:tcPr>
          <w:p>
            <w:r>
              <w:t>Manages all escalations, prioritizes, formats decision briefs</w:t>
            </w:r>
          </w:p>
        </w:tc>
        <w:tc>
          <w:tcPr>
            <w:tcW w:type="dxa" w:w="2160"/>
          </w:tcPr>
          <w:p>
            <w:r>
              <w:t>$60/mo</w:t>
            </w:r>
          </w:p>
        </w:tc>
      </w:tr>
    </w:tbl>
    <w:p/>
    <w:p>
      <w:pPr>
        <w:pStyle w:val="Heading2"/>
      </w:pPr>
      <w:r>
        <w:rPr>
          <w:b/>
          <w:color w:val="1E3A5F"/>
          <w:sz w:val="26"/>
        </w:rPr>
        <w:t>3.4 Human Core Team (Phase 1: Months 1–6)</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rPr>
              <w:t>Role</w:t>
            </w:r>
          </w:p>
        </w:tc>
        <w:tc>
          <w:tcPr>
            <w:tcW w:type="dxa" w:w="2160"/>
            <w:shd w:fill="1E3A5F"/>
          </w:tcPr>
          <w:p>
            <w:r>
              <w:rPr>
                <w:b/>
                <w:color w:val="FFFFFF"/>
              </w:rPr>
              <w:t>Function</w:t>
            </w:r>
          </w:p>
        </w:tc>
        <w:tc>
          <w:tcPr>
            <w:tcW w:type="dxa" w:w="2160"/>
            <w:shd w:fill="1E3A5F"/>
          </w:tcPr>
          <w:p>
            <w:r>
              <w:rPr>
                <w:b/>
                <w:color w:val="FFFFFF"/>
              </w:rPr>
              <w:t>Compensation (COP)</w:t>
            </w:r>
          </w:p>
        </w:tc>
        <w:tc>
          <w:tcPr>
            <w:tcW w:type="dxa" w:w="2160"/>
            <w:shd w:fill="1E3A5F"/>
          </w:tcPr>
          <w:p>
            <w:r>
              <w:rPr>
                <w:b/>
                <w:color w:val="FFFFFF"/>
              </w:rPr>
              <w:t>USD Equivalent</w:t>
            </w:r>
          </w:p>
        </w:tc>
      </w:tr>
      <w:tr>
        <w:tc>
          <w:tcPr>
            <w:tcW w:type="dxa" w:w="2160"/>
          </w:tcPr>
          <w:p>
            <w:r>
              <w:rPr>
                <w:b/>
              </w:rPr>
              <w:t>Founder/CEO</w:t>
            </w:r>
          </w:p>
        </w:tc>
        <w:tc>
          <w:tcPr>
            <w:tcW w:type="dxa" w:w="2160"/>
          </w:tcPr>
          <w:p>
            <w:r>
              <w:t>Strategy, client relations, final quality arbiter</w:t>
            </w:r>
          </w:p>
        </w:tc>
        <w:tc>
          <w:tcPr>
            <w:tcW w:type="dxa" w:w="2160"/>
          </w:tcPr>
          <w:p>
            <w:r>
              <w:t>Equity</w:t>
            </w:r>
          </w:p>
        </w:tc>
        <w:tc>
          <w:tcPr>
            <w:tcW w:type="dxa" w:w="2160"/>
          </w:tcPr>
          <w:p>
            <w:r>
              <w:t>—</w:t>
            </w:r>
          </w:p>
        </w:tc>
      </w:tr>
      <w:tr>
        <w:tc>
          <w:tcPr>
            <w:tcW w:type="dxa" w:w="2160"/>
          </w:tcPr>
          <w:p>
            <w:r>
              <w:rPr>
                <w:b/>
              </w:rPr>
              <w:t>AI Reliability Engineer (ARE)</w:t>
            </w:r>
          </w:p>
        </w:tc>
        <w:tc>
          <w:tcPr>
            <w:tcW w:type="dxa" w:w="2160"/>
          </w:tcPr>
          <w:p>
            <w:r>
              <w:t>Human validation of AI output, Context-First DoD enforcement</w:t>
            </w:r>
          </w:p>
        </w:tc>
        <w:tc>
          <w:tcPr>
            <w:tcW w:type="dxa" w:w="2160"/>
          </w:tcPr>
          <w:p>
            <w:r>
              <w:t>4.5M/month</w:t>
            </w:r>
          </w:p>
        </w:tc>
        <w:tc>
          <w:tcPr>
            <w:tcW w:type="dxa" w:w="2160"/>
          </w:tcPr>
          <w:p>
            <w:r>
              <w:t>$1,125/month</w:t>
            </w:r>
          </w:p>
        </w:tc>
      </w:tr>
      <w:tr>
        <w:tc>
          <w:tcPr>
            <w:tcW w:type="dxa" w:w="2160"/>
          </w:tcPr>
          <w:p>
            <w:r>
              <w:rPr>
                <w:b/>
              </w:rPr>
              <w:t>Growth Lead</w:t>
            </w:r>
          </w:p>
        </w:tc>
        <w:tc>
          <w:tcPr>
            <w:tcW w:type="dxa" w:w="2160"/>
          </w:tcPr>
          <w:p>
            <w:r>
              <w:t>Sales conversion, partnership development, marketing oversight</w:t>
            </w:r>
          </w:p>
        </w:tc>
        <w:tc>
          <w:tcPr>
            <w:tcW w:type="dxa" w:w="2160"/>
          </w:tcPr>
          <w:p>
            <w:r>
              <w:t>3M base + 10% commission</w:t>
            </w:r>
          </w:p>
        </w:tc>
        <w:tc>
          <w:tcPr>
            <w:tcW w:type="dxa" w:w="2160"/>
          </w:tcPr>
          <w:p>
            <w:r>
              <w:t>$750 base + commission</w:t>
            </w:r>
          </w:p>
        </w:tc>
      </w:tr>
    </w:tbl>
    <w:p>
      <w:pPr>
        <w:spacing w:after="120"/>
      </w:pPr>
      <w:r>
        <w:rPr>
          <w:b/>
          <w:i w:val="0"/>
          <w:color w:val="2C3E50"/>
          <w:sz w:val="22"/>
        </w:rPr>
        <w:t>Total Monthly Burn (Human + AI): ~$3,645</w:t>
      </w:r>
    </w:p>
    <w:p>
      <w:pPr>
        <w:spacing w:after="120"/>
      </w:pPr>
      <w:r>
        <w:rPr>
          <w:b w:val="0"/>
          <w:i w:val="0"/>
          <w:color w:val="2C3E50"/>
          <w:sz w:val="22"/>
        </w:rPr>
        <w:t>Runway with $15,000: 4.1 months (extends to 5+ with first project deposit)</w:t>
      </w:r>
    </w:p>
    <w:p>
      <w:r>
        <w:br w:type="page"/>
      </w:r>
    </w:p>
    <w:p>
      <w:pPr>
        <w:pStyle w:val="Heading1"/>
      </w:pPr>
      <w:r>
        <w:rPr>
          <w:b/>
          <w:color w:val="1E3A5F"/>
          <w:sz w:val="32"/>
        </w:rPr>
        <w:t>4. CLIENT RISK MANAGEMENT FRAMEWORK</w:t>
      </w:r>
    </w:p>
    <w:p>
      <w:pPr>
        <w:spacing w:after="120"/>
      </w:pPr>
      <w:r>
        <w:rPr>
          <w:b w:val="0"/>
          <w:i w:val="0"/>
          <w:color w:val="2C3E50"/>
          <w:sz w:val="22"/>
        </w:rPr>
        <w:t>At $15K seed funding, one bad client (scope creep, payment delays, unrealistic expectations) kills the company. We do not accept all revenue. We accept only qualified revenue.</w:t>
      </w:r>
    </w:p>
    <w:p>
      <w:pPr>
        <w:pStyle w:val="Heading2"/>
      </w:pPr>
      <w:r>
        <w:rPr>
          <w:b/>
          <w:color w:val="1E3A5F"/>
          <w:sz w:val="26"/>
        </w:rPr>
        <w:t>4.1 Client Evaluation Scorecard (Mandatory Before Proposal)</w:t>
      </w:r>
    </w:p>
    <w:p>
      <w:pPr>
        <w:spacing w:after="120"/>
      </w:pPr>
      <w:r>
        <w:rPr>
          <w:b w:val="0"/>
          <w:i w:val="0"/>
          <w:color w:val="2C3E50"/>
          <w:sz w:val="22"/>
        </w:rPr>
        <w:t>Minimum Viable Score: 70/100. Below 70: Politely decline with referral. (See Addendum 5 for complete scorecard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EF4"/>
          </w:tcPr>
          <w:p>
            <w:r>
              <w:rPr>
                <w:b/>
              </w:rPr>
              <w:t>Dimension</w:t>
            </w:r>
          </w:p>
        </w:tc>
        <w:tc>
          <w:tcPr>
            <w:tcW w:type="dxa" w:w="2160"/>
            <w:shd w:fill="E8EEF4"/>
          </w:tcPr>
          <w:p>
            <w:r>
              <w:rPr>
                <w:b/>
              </w:rPr>
              <w:t>Weight</w:t>
            </w:r>
          </w:p>
        </w:tc>
        <w:tc>
          <w:tcPr>
            <w:tcW w:type="dxa" w:w="2160"/>
            <w:shd w:fill="E8EEF4"/>
          </w:tcPr>
          <w:p>
            <w:r>
              <w:rPr>
                <w:b/>
              </w:rPr>
              <w:t>Assessment Question</w:t>
            </w:r>
          </w:p>
        </w:tc>
        <w:tc>
          <w:tcPr>
            <w:tcW w:type="dxa" w:w="2160"/>
            <w:shd w:fill="E8EEF4"/>
          </w:tcPr>
          <w:p>
            <w:r>
              <w:rPr>
                <w:b/>
              </w:rPr>
              <w:t>Red Flag</w:t>
            </w:r>
          </w:p>
        </w:tc>
      </w:tr>
      <w:tr>
        <w:tc>
          <w:tcPr>
            <w:tcW w:type="dxa" w:w="2160"/>
          </w:tcPr>
          <w:p>
            <w:r>
              <w:t>Budget Alignment</w:t>
            </w:r>
          </w:p>
        </w:tc>
        <w:tc>
          <w:tcPr>
            <w:tcW w:type="dxa" w:w="2160"/>
          </w:tcPr>
          <w:p>
            <w:pPr>
              <w:jc w:val="center"/>
            </w:pPr>
            <w:r>
              <w:t>15%</w:t>
            </w:r>
          </w:p>
        </w:tc>
        <w:tc>
          <w:tcPr>
            <w:tcW w:type="dxa" w:w="2160"/>
          </w:tcPr>
          <w:p>
            <w:r>
              <w:t>Is the budget realistic for the scope?</w:t>
            </w:r>
          </w:p>
        </w:tc>
        <w:tc>
          <w:tcPr>
            <w:tcW w:type="dxa" w:w="2160"/>
          </w:tcPr>
          <w:p>
            <w:r>
              <w:t>Budget &lt;50% of standard rate</w:t>
            </w:r>
          </w:p>
        </w:tc>
      </w:tr>
      <w:tr>
        <w:tc>
          <w:tcPr>
            <w:tcW w:type="dxa" w:w="2160"/>
          </w:tcPr>
          <w:p>
            <w:r>
              <w:t>Timeline Feasibility</w:t>
            </w:r>
          </w:p>
        </w:tc>
        <w:tc>
          <w:tcPr>
            <w:tcW w:type="dxa" w:w="2160"/>
          </w:tcPr>
          <w:p>
            <w:pPr>
              <w:jc w:val="center"/>
            </w:pPr>
            <w:r>
              <w:t>15%</w:t>
            </w:r>
          </w:p>
        </w:tc>
        <w:tc>
          <w:tcPr>
            <w:tcW w:type="dxa" w:w="2160"/>
          </w:tcPr>
          <w:p>
            <w:r>
              <w:t>Is the timeline achievable?</w:t>
            </w:r>
          </w:p>
        </w:tc>
        <w:tc>
          <w:tcPr>
            <w:tcW w:type="dxa" w:w="2160"/>
          </w:tcPr>
          <w:p>
            <w:r>
              <w:t>&lt;50% of standard timeline</w:t>
            </w:r>
          </w:p>
        </w:tc>
      </w:tr>
      <w:tr>
        <w:tc>
          <w:tcPr>
            <w:tcW w:type="dxa" w:w="2160"/>
          </w:tcPr>
          <w:p>
            <w:r>
              <w:t>Decision-Making Clarity</w:t>
            </w:r>
          </w:p>
        </w:tc>
        <w:tc>
          <w:tcPr>
            <w:tcW w:type="dxa" w:w="2160"/>
          </w:tcPr>
          <w:p>
            <w:pPr>
              <w:jc w:val="center"/>
            </w:pPr>
            <w:r>
              <w:t>15%</w:t>
            </w:r>
          </w:p>
        </w:tc>
        <w:tc>
          <w:tcPr>
            <w:tcW w:type="dxa" w:w="2160"/>
          </w:tcPr>
          <w:p>
            <w:r>
              <w:t>Is there a clear decision maker?</w:t>
            </w:r>
          </w:p>
        </w:tc>
        <w:tc>
          <w:tcPr>
            <w:tcW w:type="dxa" w:w="2160"/>
          </w:tcPr>
          <w:p>
            <w:r>
              <w:t>&gt;3 decision makers</w:t>
            </w:r>
          </w:p>
        </w:tc>
      </w:tr>
      <w:tr>
        <w:tc>
          <w:tcPr>
            <w:tcW w:type="dxa" w:w="2160"/>
          </w:tcPr>
          <w:p>
            <w:r>
              <w:t>Technical Requirements</w:t>
            </w:r>
          </w:p>
        </w:tc>
        <w:tc>
          <w:tcPr>
            <w:tcW w:type="dxa" w:w="2160"/>
          </w:tcPr>
          <w:p>
            <w:pPr>
              <w:jc w:val="center"/>
            </w:pPr>
            <w:r>
              <w:t>10%</w:t>
            </w:r>
          </w:p>
        </w:tc>
        <w:tc>
          <w:tcPr>
            <w:tcW w:type="dxa" w:w="2160"/>
          </w:tcPr>
          <w:p>
            <w:r>
              <w:t>Are requirements clear?</w:t>
            </w:r>
          </w:p>
        </w:tc>
        <w:tc>
          <w:tcPr>
            <w:tcW w:type="dxa" w:w="2160"/>
          </w:tcPr>
          <w:p>
            <w:r>
              <w:t>Vague scope</w:t>
            </w:r>
          </w:p>
        </w:tc>
      </w:tr>
      <w:tr>
        <w:tc>
          <w:tcPr>
            <w:tcW w:type="dxa" w:w="2160"/>
          </w:tcPr>
          <w:p>
            <w:r>
              <w:t>Communication Quality</w:t>
            </w:r>
          </w:p>
        </w:tc>
        <w:tc>
          <w:tcPr>
            <w:tcW w:type="dxa" w:w="2160"/>
          </w:tcPr>
          <w:p>
            <w:pPr>
              <w:jc w:val="center"/>
            </w:pPr>
            <w:r>
              <w:t>10%</w:t>
            </w:r>
          </w:p>
        </w:tc>
        <w:tc>
          <w:tcPr>
            <w:tcW w:type="dxa" w:w="2160"/>
          </w:tcPr>
          <w:p>
            <w:r>
              <w:t>Are they responsive and clear?</w:t>
            </w:r>
          </w:p>
        </w:tc>
        <w:tc>
          <w:tcPr>
            <w:tcW w:type="dxa" w:w="2160"/>
          </w:tcPr>
          <w:p>
            <w:r>
              <w:t>Phone-only communication</w:t>
            </w:r>
          </w:p>
        </w:tc>
      </w:tr>
    </w:tbl>
    <w:p/>
    <w:p>
      <w:pPr>
        <w:pStyle w:val="Heading2"/>
      </w:pPr>
      <w:r>
        <w:rPr>
          <w:b/>
          <w:color w:val="1E3A5F"/>
          <w:sz w:val="26"/>
        </w:rPr>
        <w:t>4.2 Pre-Engagement Questionnaire</w:t>
      </w:r>
    </w:p>
    <w:p>
      <w:pPr>
        <w:spacing w:after="120"/>
      </w:pPr>
      <w:r>
        <w:rPr>
          <w:b w:val="0"/>
          <w:i w:val="0"/>
          <w:color w:val="2C3E50"/>
          <w:sz w:val="22"/>
        </w:rPr>
        <w:t>All prospects must complete the Pre-Engagement Questionnaire (Addendum 6) covering:</w:t>
      </w:r>
    </w:p>
    <w:p>
      <w:pPr>
        <w:pStyle w:val="ListBullet"/>
        <w:ind w:left="720"/>
      </w:pPr>
      <w:r>
        <w:rPr>
          <w:sz w:val="22"/>
        </w:rPr>
        <w:t>Business Context: What business outcome will this project achieve in 90 days?</w:t>
      </w:r>
    </w:p>
    <w:p>
      <w:pPr>
        <w:pStyle w:val="ListBullet"/>
        <w:ind w:left="720"/>
      </w:pPr>
      <w:r>
        <w:rPr>
          <w:sz w:val="22"/>
        </w:rPr>
        <w:t>Cost of Inaction: What is the cost of NOT solving this problem?</w:t>
      </w:r>
    </w:p>
    <w:p>
      <w:pPr>
        <w:pStyle w:val="ListBullet"/>
        <w:ind w:left="720"/>
      </w:pPr>
      <w:r>
        <w:rPr>
          <w:sz w:val="22"/>
        </w:rPr>
        <w:t>Technical Debt: Do you have existing technical debt we must integrate with?</w:t>
      </w:r>
    </w:p>
    <w:p>
      <w:pPr>
        <w:pStyle w:val="ListBullet"/>
        <w:ind w:left="720"/>
      </w:pPr>
      <w:r>
        <w:rPr>
          <w:sz w:val="22"/>
        </w:rPr>
        <w:t>Compliance: Do you require SOC 2, HIPAA, or GDPR compliance?</w:t>
      </w:r>
    </w:p>
    <w:p>
      <w:pPr>
        <w:pStyle w:val="ListBullet"/>
        <w:ind w:left="720"/>
      </w:pPr>
      <w:r>
        <w:rPr>
          <w:sz w:val="22"/>
        </w:rPr>
        <w:t>Decision Authority: Who is the single point of contact with authority to approve milestones?</w:t>
      </w:r>
    </w:p>
    <w:p>
      <w:pPr>
        <w:pStyle w:val="ListBullet"/>
        <w:ind w:left="720"/>
      </w:pPr>
      <w:r>
        <w:rPr>
          <w:sz w:val="22"/>
        </w:rPr>
        <w:t>AI Acknowledgment: Are you comfortable with AI-assisted development?</w:t>
      </w:r>
    </w:p>
    <w:p/>
    <w:p>
      <w:pPr>
        <w:pStyle w:val="Heading2"/>
      </w:pPr>
      <w:r>
        <w:rPr>
          <w:b/>
          <w:color w:val="1E3A5F"/>
          <w:sz w:val="26"/>
        </w:rPr>
        <w:t>4.3 Project Kill Switch Framework</w:t>
      </w:r>
    </w:p>
    <w:p>
      <w:pPr>
        <w:spacing w:after="120"/>
      </w:pPr>
      <w:r>
        <w:rPr>
          <w:b w:val="0"/>
          <w:i w:val="0"/>
          <w:color w:val="2C3E50"/>
          <w:sz w:val="22"/>
        </w:rPr>
        <w:t>Defined criteria for firing clients or stopping projects mid-stream (see Addendum 10: Release Sign-Off Form and Addendum 2: MSA):</w:t>
      </w:r>
    </w:p>
    <w:tbl>
      <w:tblPr>
        <w:tblStyle w:val="TableGrid"/>
        <w:tblW w:type="auto" w:w="0"/>
        <w:tblLook w:firstColumn="1" w:firstRow="1" w:lastColumn="0" w:lastRow="0" w:noHBand="0" w:noVBand="1" w:val="04A0"/>
      </w:tblPr>
      <w:tblGrid>
        <w:gridCol w:w="2880"/>
        <w:gridCol w:w="2880"/>
        <w:gridCol w:w="2880"/>
      </w:tblGrid>
      <w:tr>
        <w:tc>
          <w:tcPr>
            <w:tcW w:type="dxa" w:w="2880"/>
            <w:shd w:fill="E8EEF4"/>
          </w:tcPr>
          <w:p>
            <w:r>
              <w:rPr>
                <w:b/>
              </w:rPr>
              <w:t>Trigger</w:t>
            </w:r>
          </w:p>
        </w:tc>
        <w:tc>
          <w:tcPr>
            <w:tcW w:type="dxa" w:w="2880"/>
            <w:shd w:fill="E8EEF4"/>
          </w:tcPr>
          <w:p>
            <w:r>
              <w:rPr>
                <w:b/>
              </w:rPr>
              <w:t>Automatic Action</w:t>
            </w:r>
          </w:p>
        </w:tc>
        <w:tc>
          <w:tcPr>
            <w:tcW w:type="dxa" w:w="2880"/>
            <w:shd w:fill="E8EEF4"/>
          </w:tcPr>
          <w:p>
            <w:r>
              <w:rPr>
                <w:b/>
              </w:rPr>
              <w:t>Cost to NoDrft</w:t>
            </w:r>
          </w:p>
        </w:tc>
      </w:tr>
      <w:tr>
        <w:tc>
          <w:tcPr>
            <w:tcW w:type="dxa" w:w="2880"/>
          </w:tcPr>
          <w:p>
            <w:r>
              <w:t>Payment &gt;15 days late</w:t>
            </w:r>
          </w:p>
        </w:tc>
        <w:tc>
          <w:tcPr>
            <w:tcW w:type="dxa" w:w="2880"/>
          </w:tcPr>
          <w:p>
            <w:r>
              <w:t>Work stops until paid + 10% late fee</w:t>
            </w:r>
          </w:p>
        </w:tc>
        <w:tc>
          <w:tcPr>
            <w:tcW w:type="dxa" w:w="2880"/>
          </w:tcPr>
          <w:p>
            <w:r>
              <w:t>Delayed cash flow</w:t>
            </w:r>
          </w:p>
        </w:tc>
      </w:tr>
      <w:tr>
        <w:tc>
          <w:tcPr>
            <w:tcW w:type="dxa" w:w="2880"/>
          </w:tcPr>
          <w:p>
            <w:r>
              <w:t>Client changes scope &gt;20% post-signing</w:t>
            </w:r>
          </w:p>
        </w:tc>
        <w:tc>
          <w:tcPr>
            <w:tcW w:type="dxa" w:w="2880"/>
          </w:tcPr>
          <w:p>
            <w:r>
              <w:t>Pause work, re-scope at 1.5x or terminate</w:t>
            </w:r>
          </w:p>
        </w:tc>
        <w:tc>
          <w:tcPr>
            <w:tcW w:type="dxa" w:w="2880"/>
          </w:tcPr>
          <w:p>
            <w:r>
              <w:t>Lost sunk cost</w:t>
            </w:r>
          </w:p>
        </w:tc>
      </w:tr>
      <w:tr>
        <w:tc>
          <w:tcPr>
            <w:tcW w:type="dxa" w:w="2880"/>
          </w:tcPr>
          <w:p>
            <w:r>
              <w:t>&gt;5 "urgent" requests outside business hours</w:t>
            </w:r>
          </w:p>
        </w:tc>
        <w:tc>
          <w:tcPr>
            <w:tcW w:type="dxa" w:w="2880"/>
          </w:tcPr>
          <w:p>
            <w:r>
              <w:t>Enforce "High Touch" tier (+$2K/mo) or terminate</w:t>
            </w:r>
          </w:p>
        </w:tc>
        <w:tc>
          <w:tcPr>
            <w:tcW w:type="dxa" w:w="2880"/>
          </w:tcPr>
          <w:p>
            <w:r>
              <w:t>Reputation risk</w:t>
            </w:r>
          </w:p>
        </w:tc>
      </w:tr>
      <w:tr>
        <w:tc>
          <w:tcPr>
            <w:tcW w:type="dxa" w:w="2880"/>
          </w:tcPr>
          <w:p>
            <w:r>
              <w:t>Client modifies code directly, breaking build</w:t>
            </w:r>
          </w:p>
        </w:tc>
        <w:tc>
          <w:tcPr>
            <w:tcW w:type="dxa" w:w="2880"/>
          </w:tcPr>
          <w:p>
            <w:r>
              <w:t>Void warranty, bill hourly for remediation</w:t>
            </w:r>
          </w:p>
        </w:tc>
        <w:tc>
          <w:tcPr>
            <w:tcW w:type="dxa" w:w="2880"/>
          </w:tcPr>
          <w:p>
            <w:r>
              <w:t>Support burden</w:t>
            </w:r>
          </w:p>
        </w:tc>
      </w:tr>
      <w:tr>
        <w:tc>
          <w:tcPr>
            <w:tcW w:type="dxa" w:w="2880"/>
          </w:tcPr>
          <w:p>
            <w:r>
              <w:t>Client refuses Context-First validation sign-off</w:t>
            </w:r>
          </w:p>
        </w:tc>
        <w:tc>
          <w:tcPr>
            <w:tcW w:type="dxa" w:w="2880"/>
          </w:tcPr>
          <w:p>
            <w:r>
              <w:t>No deployment, no refund of deposit</w:t>
            </w:r>
          </w:p>
        </w:tc>
        <w:tc>
          <w:tcPr>
            <w:tcW w:type="dxa" w:w="2880"/>
          </w:tcPr>
          <w:p>
            <w:r>
              <w:t>Relationship loss</w:t>
            </w:r>
          </w:p>
        </w:tc>
      </w:tr>
    </w:tbl>
    <w:p>
      <w:r>
        <w:br w:type="page"/>
      </w:r>
    </w:p>
    <w:p>
      <w:pPr>
        <w:pStyle w:val="Heading1"/>
      </w:pPr>
      <w:r>
        <w:rPr>
          <w:b/>
          <w:color w:val="1E3A5F"/>
          <w:sz w:val="32"/>
        </w:rPr>
        <w:t>5. SERVICE ARCHITECTURE &amp; PRICING</w:t>
      </w:r>
    </w:p>
    <w:p>
      <w:pPr>
        <w:pStyle w:val="Heading2"/>
      </w:pPr>
      <w:r>
        <w:rPr>
          <w:b/>
          <w:color w:val="1E3A5F"/>
          <w:sz w:val="26"/>
        </w:rPr>
        <w:t>5.1 Service Tiers (USD Pricing)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E3A5F"/>
          </w:tcPr>
          <w:p>
            <w:r>
              <w:rPr>
                <w:b/>
                <w:color w:val="FFFFFF"/>
              </w:rPr>
              <w:t>Tier</w:t>
            </w:r>
          </w:p>
        </w:tc>
        <w:tc>
          <w:tcPr>
            <w:tcW w:type="dxa" w:w="1440"/>
            <w:shd w:fill="1E3A5F"/>
          </w:tcPr>
          <w:p>
            <w:r>
              <w:rPr>
                <w:b/>
                <w:color w:val="FFFFFF"/>
              </w:rPr>
              <w:t>Deliverable</w:t>
            </w:r>
          </w:p>
        </w:tc>
        <w:tc>
          <w:tcPr>
            <w:tcW w:type="dxa" w:w="1440"/>
            <w:shd w:fill="1E3A5F"/>
          </w:tcPr>
          <w:p>
            <w:r>
              <w:rPr>
                <w:b/>
                <w:color w:val="FFFFFF"/>
              </w:rPr>
              <w:t>Timeline</w:t>
            </w:r>
          </w:p>
        </w:tc>
        <w:tc>
          <w:tcPr>
            <w:tcW w:type="dxa" w:w="1440"/>
            <w:shd w:fill="1E3A5F"/>
          </w:tcPr>
          <w:p>
            <w:r>
              <w:rPr>
                <w:b/>
                <w:color w:val="FFFFFF"/>
              </w:rPr>
              <w:t>Base Price</w:t>
            </w:r>
          </w:p>
        </w:tc>
        <w:tc>
          <w:tcPr>
            <w:tcW w:type="dxa" w:w="1440"/>
            <w:shd w:fill="1E3A5F"/>
          </w:tcPr>
          <w:p>
            <w:r>
              <w:rPr>
                <w:b/>
                <w:color w:val="FFFFFF"/>
              </w:rPr>
              <w:t>AI Labor Reduction</w:t>
            </w:r>
          </w:p>
        </w:tc>
        <w:tc>
          <w:tcPr>
            <w:tcW w:type="dxa" w:w="1440"/>
            <w:shd w:fill="1E3A5F"/>
          </w:tcPr>
          <w:p>
            <w:r>
              <w:rPr>
                <w:b/>
                <w:color w:val="FFFFFF"/>
              </w:rPr>
              <w:t>Gross Margin</w:t>
            </w:r>
          </w:p>
        </w:tc>
      </w:tr>
      <w:tr>
        <w:tc>
          <w:tcPr>
            <w:tcW w:type="dxa" w:w="1440"/>
          </w:tcPr>
          <w:p>
            <w:r>
              <w:t>Launch</w:t>
            </w:r>
          </w:p>
        </w:tc>
        <w:tc>
          <w:tcPr>
            <w:tcW w:type="dxa" w:w="1440"/>
          </w:tcPr>
          <w:p>
            <w:r>
              <w:t>5-page website, CMS, analytics, SEO</w:t>
            </w:r>
          </w:p>
        </w:tc>
        <w:tc>
          <w:tcPr>
            <w:tcW w:type="dxa" w:w="1440"/>
          </w:tcPr>
          <w:p>
            <w:r>
              <w:t>7 days</w:t>
            </w:r>
          </w:p>
        </w:tc>
        <w:tc>
          <w:tcPr>
            <w:tcW w:type="dxa" w:w="1440"/>
          </w:tcPr>
          <w:p>
            <w:r>
              <w:t>$3,500</w:t>
            </w:r>
          </w:p>
        </w:tc>
        <w:tc>
          <w:tcPr>
            <w:tcW w:type="dxa" w:w="1440"/>
          </w:tcPr>
          <w:p>
            <w:pPr>
              <w:jc w:val="center"/>
            </w:pPr>
            <w:r>
              <w:t>60%</w:t>
            </w:r>
          </w:p>
        </w:tc>
        <w:tc>
          <w:tcPr>
            <w:tcW w:type="dxa" w:w="1440"/>
          </w:tcPr>
          <w:p>
            <w:pPr>
              <w:jc w:val="center"/>
            </w:pPr>
            <w:r>
              <w:t>87%</w:t>
            </w:r>
          </w:p>
        </w:tc>
      </w:tr>
      <w:tr>
        <w:tc>
          <w:tcPr>
            <w:tcW w:type="dxa" w:w="1440"/>
          </w:tcPr>
          <w:p>
            <w:r>
              <w:t>Platform</w:t>
            </w:r>
          </w:p>
        </w:tc>
        <w:tc>
          <w:tcPr>
            <w:tcW w:type="dxa" w:w="1440"/>
          </w:tcPr>
          <w:p>
            <w:r>
              <w:t>Custom web app (React/Supabase), auth, database</w:t>
            </w:r>
          </w:p>
        </w:tc>
        <w:tc>
          <w:tcPr>
            <w:tcW w:type="dxa" w:w="1440"/>
          </w:tcPr>
          <w:p>
            <w:r>
              <w:t>4 weeks</w:t>
            </w:r>
          </w:p>
        </w:tc>
        <w:tc>
          <w:tcPr>
            <w:tcW w:type="dxa" w:w="1440"/>
          </w:tcPr>
          <w:p>
            <w:r>
              <w:t>$15,000</w:t>
            </w:r>
          </w:p>
        </w:tc>
        <w:tc>
          <w:tcPr>
            <w:tcW w:type="dxa" w:w="1440"/>
          </w:tcPr>
          <w:p>
            <w:pPr>
              <w:jc w:val="center"/>
            </w:pPr>
            <w:r>
              <w:t>50%</w:t>
            </w:r>
          </w:p>
        </w:tc>
        <w:tc>
          <w:tcPr>
            <w:tcW w:type="dxa" w:w="1440"/>
          </w:tcPr>
          <w:p>
            <w:r>
              <w:t>80%</w:t>
            </w:r>
          </w:p>
        </w:tc>
      </w:tr>
      <w:tr>
        <w:tc>
          <w:tcPr>
            <w:tcW w:type="dxa" w:w="1440"/>
          </w:tcPr>
          <w:p>
            <w:r>
              <w:t>Ecosystem</w:t>
            </w:r>
          </w:p>
        </w:tc>
        <w:tc>
          <w:tcPr>
            <w:tcW w:type="dxa" w:w="1440"/>
          </w:tcPr>
          <w:p>
            <w:r>
              <w:t>Web + mobile API + admin panel + integrations</w:t>
            </w:r>
          </w:p>
        </w:tc>
        <w:tc>
          <w:tcPr>
            <w:tcW w:type="dxa" w:w="1440"/>
          </w:tcPr>
          <w:p>
            <w:r>
              <w:t>8 weeks</w:t>
            </w:r>
          </w:p>
        </w:tc>
        <w:tc>
          <w:tcPr>
            <w:tcW w:type="dxa" w:w="1440"/>
          </w:tcPr>
          <w:p>
            <w:r>
              <w:t>$27,500</w:t>
            </w:r>
          </w:p>
        </w:tc>
        <w:tc>
          <w:tcPr>
            <w:tcW w:type="dxa" w:w="1440"/>
          </w:tcPr>
          <w:p>
            <w:pPr>
              <w:jc w:val="center"/>
            </w:pPr>
            <w:r>
              <w:t>40%</w:t>
            </w:r>
          </w:p>
        </w:tc>
        <w:tc>
          <w:tcPr>
            <w:tcW w:type="dxa" w:w="1440"/>
          </w:tcPr>
          <w:p>
            <w:r>
              <w:t>71%</w:t>
            </w:r>
          </w:p>
        </w:tc>
      </w:tr>
      <w:tr>
        <w:tc>
          <w:tcPr>
            <w:tcW w:type="dxa" w:w="1440"/>
          </w:tcPr>
          <w:p>
            <w:r>
              <w:t>Growth Retainer</w:t>
            </w:r>
          </w:p>
        </w:tc>
        <w:tc>
          <w:tcPr>
            <w:tcW w:type="dxa" w:w="1440"/>
          </w:tcPr>
          <w:p>
            <w:r>
              <w:t>Ongoing development, strategy, maintenance</w:t>
            </w:r>
          </w:p>
        </w:tc>
        <w:tc>
          <w:tcPr>
            <w:tcW w:type="dxa" w:w="1440"/>
          </w:tcPr>
          <w:p>
            <w:r>
              <w:t>Monthly</w:t>
            </w:r>
          </w:p>
        </w:tc>
        <w:tc>
          <w:tcPr>
            <w:tcW w:type="dxa" w:w="1440"/>
          </w:tcPr>
          <w:p>
            <w:r>
              <w:t>$3,500/mo</w:t>
            </w:r>
          </w:p>
        </w:tc>
        <w:tc>
          <w:tcPr>
            <w:tcW w:type="dxa" w:w="1440"/>
          </w:tcPr>
          <w:p>
            <w:pPr>
              <w:jc w:val="center"/>
            </w:pPr>
            <w:r>
              <w:t>70%</w:t>
            </w:r>
          </w:p>
        </w:tc>
        <w:tc>
          <w:tcPr>
            <w:tcW w:type="dxa" w:w="1440"/>
          </w:tcPr>
          <w:p>
            <w:pPr>
              <w:jc w:val="center"/>
            </w:pPr>
            <w:r>
              <w:t>85%</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pPr>
        <w:pStyle w:val="Heading2"/>
      </w:pPr>
      <w:r>
        <w:rPr>
          <w:b/>
          <w:color w:val="1E3A5F"/>
          <w:sz w:val="26"/>
        </w:rPr>
        <w:t>5.2 Legal Instruments</w:t>
      </w:r>
    </w:p>
    <w:p>
      <w:pPr>
        <w:spacing w:after="120"/>
      </w:pPr>
      <w:r>
        <w:rPr>
          <w:b w:val="0"/>
          <w:i w:val="0"/>
          <w:color w:val="2C3E50"/>
          <w:sz w:val="22"/>
        </w:rPr>
        <w:t>All client engagements use standardized legal documents (see addendums):</w:t>
      </w:r>
    </w:p>
    <w:p>
      <w:pPr>
        <w:pStyle w:val="ListBullet"/>
        <w:ind w:left="720"/>
      </w:pPr>
      <w:r>
        <w:rPr>
          <w:sz w:val="22"/>
        </w:rPr>
        <w:t>Master Service Agreement (Addendum 2): Governs all client relationships</w:t>
      </w:r>
    </w:p>
    <w:p>
      <w:pPr>
        <w:pStyle w:val="ListBullet"/>
        <w:ind w:left="720"/>
      </w:pPr>
      <w:r>
        <w:rPr>
          <w:sz w:val="22"/>
        </w:rPr>
        <w:t>Statement of Work (Addendum 3): Defines project-specific scope, timeline, and deliverables</w:t>
      </w:r>
    </w:p>
    <w:p>
      <w:pPr>
        <w:pStyle w:val="ListBullet"/>
        <w:ind w:left="720"/>
      </w:pPr>
      <w:r>
        <w:rPr>
          <w:sz w:val="22"/>
        </w:rPr>
        <w:t>Non-Disclosure Agreement (Addendum 4): Protects confidential information</w:t>
      </w:r>
    </w:p>
    <w:p>
      <w:pPr>
        <w:pStyle w:val="ListBullet"/>
        <w:ind w:left="720"/>
      </w:pPr>
      <w:r>
        <w:rPr>
          <w:sz w:val="22"/>
        </w:rPr>
        <w:t>Release Sign-Off Form (Addendum 10): Documents client acceptance and payment authorization</w:t>
      </w:r>
    </w:p>
    <w:p>
      <w:r>
        <w:br w:type="page"/>
      </w:r>
    </w:p>
    <w:p>
      <w:pPr>
        <w:pStyle w:val="Heading1"/>
      </w:pPr>
      <w:r>
        <w:rPr>
          <w:b/>
          <w:color w:val="1E3A5F"/>
          <w:sz w:val="32"/>
        </w:rPr>
        <w:t>6. FINANCIAL PROJECTIONS &amp; TAX STRATEGY</w:t>
      </w:r>
    </w:p>
    <w:p>
      <w:pPr>
        <w:pStyle w:val="Heading2"/>
      </w:pPr>
      <w:r>
        <w:rPr>
          <w:b/>
          <w:color w:val="1E3A5F"/>
          <w:sz w:val="26"/>
        </w:rPr>
        <w:t>6.1 Updated Seed Allocation</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rPr>
              <w:t>Category</w:t>
            </w:r>
          </w:p>
        </w:tc>
        <w:tc>
          <w:tcPr>
            <w:tcW w:type="dxa" w:w="2880"/>
            <w:shd w:fill="1E3A5F"/>
          </w:tcPr>
          <w:p>
            <w:r>
              <w:rPr>
                <w:b/>
                <w:color w:val="FFFFFF"/>
              </w:rPr>
              <w:t>Item</w:t>
            </w:r>
          </w:p>
        </w:tc>
        <w:tc>
          <w:tcPr>
            <w:tcW w:type="dxa" w:w="2880"/>
            <w:shd w:fill="1E3A5F"/>
          </w:tcPr>
          <w:p>
            <w:r>
              <w:rPr>
                <w:b/>
                <w:color w:val="FFFFFF"/>
              </w:rPr>
              <w:t>Amount (USD)</w:t>
            </w:r>
          </w:p>
        </w:tc>
      </w:tr>
      <w:tr>
        <w:tc>
          <w:tcPr>
            <w:tcW w:type="dxa" w:w="2880"/>
          </w:tcPr>
          <w:p>
            <w:r>
              <w:t>Legal</w:t>
            </w:r>
          </w:p>
        </w:tc>
        <w:tc>
          <w:tcPr>
            <w:tcW w:type="dxa" w:w="2880"/>
          </w:tcPr>
          <w:p>
            <w:r>
              <w:t>Delaware LLC formation + registered agent (Year 1)</w:t>
            </w:r>
          </w:p>
        </w:tc>
        <w:tc>
          <w:tcPr>
            <w:tcW w:type="dxa" w:w="2880"/>
          </w:tcPr>
          <w:p>
            <w:pPr>
              <w:jc w:val="right"/>
            </w:pPr>
            <w:r>
              <w:t>$400</w:t>
            </w:r>
          </w:p>
        </w:tc>
      </w:tr>
      <w:tr>
        <w:tc>
          <w:tcPr>
            <w:tcW w:type="dxa" w:w="2880"/>
          </w:tcPr>
          <w:p>
            <w:r>
              <w:t>AI Infrastructure</w:t>
            </w:r>
          </w:p>
        </w:tc>
        <w:tc>
          <w:tcPr>
            <w:tcW w:type="dxa" w:w="2880"/>
          </w:tcPr>
          <w:p>
            <w:r>
              <w:t>Tier 1 agents (Wave 1, 3-month runway)</w:t>
            </w:r>
          </w:p>
        </w:tc>
        <w:tc>
          <w:tcPr>
            <w:tcW w:type="dxa" w:w="2880"/>
          </w:tcPr>
          <w:p>
            <w:pPr>
              <w:jc w:val="right"/>
            </w:pPr>
            <w:r>
              <w:t>$1,170</w:t>
            </w:r>
          </w:p>
        </w:tc>
      </w:tr>
      <w:tr>
        <w:tc>
          <w:tcPr>
            <w:tcW w:type="dxa" w:w="2880"/>
          </w:tcPr>
          <w:p>
            <w:r>
              <w:t>Human Capital</w:t>
            </w:r>
          </w:p>
        </w:tc>
        <w:tc>
          <w:tcPr>
            <w:tcW w:type="dxa" w:w="2880"/>
          </w:tcPr>
          <w:p>
            <w:r>
              <w:t>ARE (3-month guarantee)</w:t>
            </w:r>
          </w:p>
        </w:tc>
        <w:tc>
          <w:tcPr>
            <w:tcW w:type="dxa" w:w="2880"/>
          </w:tcPr>
          <w:p>
            <w:pPr>
              <w:jc w:val="right"/>
            </w:pPr>
            <w:r>
              <w:t>$3,375</w:t>
            </w:r>
          </w:p>
        </w:tc>
      </w:tr>
      <w:tr>
        <w:tc>
          <w:tcPr>
            <w:tcW w:type="dxa" w:w="2880"/>
          </w:tcPr>
          <w:p>
            <w:r>
              <w:t>Human Capital</w:t>
            </w:r>
          </w:p>
        </w:tc>
        <w:tc>
          <w:tcPr>
            <w:tcW w:type="dxa" w:w="2880"/>
          </w:tcPr>
          <w:p>
            <w:r>
              <w:t>Growth Lead base (Month 2-3)</w:t>
            </w:r>
          </w:p>
        </w:tc>
        <w:tc>
          <w:tcPr>
            <w:tcW w:type="dxa" w:w="2880"/>
          </w:tcPr>
          <w:p>
            <w:pPr>
              <w:jc w:val="right"/>
            </w:pPr>
            <w:r>
              <w:t>$1,500</w:t>
            </w:r>
          </w:p>
        </w:tc>
      </w:tr>
      <w:tr>
        <w:tc>
          <w:tcPr>
            <w:tcW w:type="dxa" w:w="2880"/>
          </w:tcPr>
          <w:p>
            <w:r>
              <w:t>Sales Tools</w:t>
            </w:r>
          </w:p>
        </w:tc>
        <w:tc>
          <w:tcPr>
            <w:tcW w:type="dxa" w:w="2880"/>
          </w:tcPr>
          <w:p>
            <w:r>
              <w:t>Apollo, Instantly, LinkedIn Navigator (6 mo)</w:t>
            </w:r>
          </w:p>
        </w:tc>
        <w:tc>
          <w:tcPr>
            <w:tcW w:type="dxa" w:w="2880"/>
          </w:tcPr>
          <w:p>
            <w:pPr>
              <w:jc w:val="right"/>
            </w:pPr>
            <w:r>
              <w:t>$1,140</w:t>
            </w:r>
          </w:p>
        </w:tc>
      </w:tr>
      <w:tr>
        <w:tc>
          <w:tcPr>
            <w:tcW w:type="dxa" w:w="2880"/>
          </w:tcPr>
          <w:p>
            <w:r>
              <w:t>Security</w:t>
            </w:r>
          </w:p>
        </w:tc>
        <w:tc>
          <w:tcPr>
            <w:tcW w:type="dxa" w:w="2880"/>
          </w:tcPr>
          <w:p>
            <w:r>
              <w:t>Cyber insurance ($1M) + E&amp;O Insurance</w:t>
            </w:r>
          </w:p>
        </w:tc>
        <w:tc>
          <w:tcPr>
            <w:tcW w:type="dxa" w:w="2880"/>
          </w:tcPr>
          <w:p>
            <w:pPr>
              <w:jc w:val="right"/>
            </w:pPr>
            <w:r>
              <w:t>$1,000</w:t>
            </w:r>
          </w:p>
        </w:tc>
      </w:tr>
      <w:tr>
        <w:tc>
          <w:tcPr>
            <w:tcW w:type="dxa" w:w="2880"/>
          </w:tcPr>
          <w:p>
            <w:r>
              <w:t>Reserve</w:t>
            </w:r>
          </w:p>
        </w:tc>
        <w:tc>
          <w:tcPr>
            <w:tcW w:type="dxa" w:w="2880"/>
          </w:tcPr>
          <w:p>
            <w:r>
              <w:t>Contingency/Working capital</w:t>
            </w:r>
          </w:p>
        </w:tc>
        <w:tc>
          <w:tcPr>
            <w:tcW w:type="dxa" w:w="2880"/>
          </w:tcPr>
          <w:p>
            <w:pPr>
              <w:jc w:val="right"/>
            </w:pPr>
            <w:r>
              <w:t>$5,015</w:t>
            </w:r>
          </w:p>
        </w:tc>
      </w:tr>
      <w:tr>
        <w:tc>
          <w:tcPr>
            <w:tcW w:type="dxa" w:w="2880"/>
            <w:shd w:fill="E8EEF4"/>
          </w:tcPr>
          <w:p>
            <w:r>
              <w:rPr>
                <w:b/>
              </w:rPr>
              <w:t>TOTAL</w:t>
            </w:r>
          </w:p>
        </w:tc>
        <w:tc>
          <w:tcPr>
            <w:tcW w:type="dxa" w:w="2880"/>
          </w:tcPr>
          <w:p>
            <w:r/>
          </w:p>
        </w:tc>
        <w:tc>
          <w:tcPr>
            <w:tcW w:type="dxa" w:w="2880"/>
            <w:shd w:fill="E8EEF4"/>
          </w:tcPr>
          <w:p>
            <w:pPr>
              <w:jc w:val="right"/>
            </w:pPr>
            <w:r>
              <w:rPr>
                <w:b/>
              </w:rPr>
              <w:t>$15,000</w:t>
            </w:r>
          </w:p>
        </w:tc>
      </w:tr>
    </w:tbl>
    <w:p/>
    <w:p>
      <w:pPr>
        <w:pStyle w:val="Heading2"/>
      </w:pPr>
      <w:r>
        <w:rPr>
          <w:b/>
          <w:color w:val="1E3A5F"/>
          <w:sz w:val="26"/>
        </w:rPr>
        <w:t>6.2 Tax Optimization Strategy</w:t>
      </w:r>
    </w:p>
    <w:p>
      <w:pPr>
        <w:spacing w:after="120"/>
      </w:pPr>
      <w:r>
        <w:rPr>
          <w:b w:val="0"/>
          <w:i w:val="0"/>
          <w:color w:val="2C3E50"/>
          <w:sz w:val="22"/>
        </w:rPr>
        <w:t>See Addendum 13: Tax Optimization Execution Plan for comprehensive strategy including:</w:t>
      </w:r>
    </w:p>
    <w:p>
      <w:pPr>
        <w:pStyle w:val="ListBullet"/>
        <w:ind w:left="720"/>
      </w:pPr>
      <w:r>
        <w:rPr>
          <w:sz w:val="22"/>
        </w:rPr>
        <w:t>Delaware LLC pass-through taxation structure</w:t>
      </w:r>
    </w:p>
    <w:p>
      <w:pPr>
        <w:pStyle w:val="ListBullet"/>
        <w:ind w:left="720"/>
      </w:pPr>
      <w:r>
        <w:rPr>
          <w:sz w:val="22"/>
        </w:rPr>
        <w:t>Quarterly estimated tax payment schedule</w:t>
      </w:r>
    </w:p>
    <w:p>
      <w:pPr>
        <w:pStyle w:val="ListBullet"/>
        <w:ind w:left="720"/>
      </w:pPr>
      <w:r>
        <w:rPr>
          <w:sz w:val="22"/>
        </w:rPr>
        <w:t>Retirement contribution strategies (Solo 401k)</w:t>
      </w:r>
    </w:p>
    <w:p>
      <w:pPr>
        <w:pStyle w:val="ListBullet"/>
        <w:ind w:left="720"/>
      </w:pPr>
      <w:r>
        <w:rPr>
          <w:sz w:val="22"/>
        </w:rPr>
        <w:t>UAE entity evaluation for international operations</w:t>
      </w:r>
    </w:p>
    <w:p>
      <w:pPr>
        <w:pStyle w:val="ListBullet"/>
        <w:ind w:left="720"/>
      </w:pPr>
      <w:r>
        <w:rPr>
          <w:sz w:val="22"/>
        </w:rPr>
        <w:t>Business deduction maximization framework</w:t>
      </w:r>
    </w:p>
    <w:p/>
    <w:p>
      <w:pPr>
        <w:pStyle w:val="Heading2"/>
      </w:pPr>
      <w:r>
        <w:rPr>
          <w:b/>
          <w:color w:val="1E3A5F"/>
          <w:sz w:val="26"/>
        </w:rPr>
        <w:t>6.3 Cash Flow Projection (Months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8EEF4"/>
          </w:tcPr>
          <w:p>
            <w:r>
              <w:rPr>
                <w:b/>
              </w:rPr>
              <w:t>Month</w:t>
            </w:r>
          </w:p>
        </w:tc>
        <w:tc>
          <w:tcPr>
            <w:tcW w:type="dxa" w:w="1728"/>
            <w:shd w:fill="E8EEF4"/>
          </w:tcPr>
          <w:p>
            <w:r>
              <w:rPr>
                <w:b/>
              </w:rPr>
              <w:t>Revenue</w:t>
            </w:r>
          </w:p>
        </w:tc>
        <w:tc>
          <w:tcPr>
            <w:tcW w:type="dxa" w:w="1728"/>
            <w:shd w:fill="E8EEF4"/>
          </w:tcPr>
          <w:p>
            <w:r>
              <w:rPr>
                <w:b/>
              </w:rPr>
              <w:t>Human Costs</w:t>
            </w:r>
          </w:p>
        </w:tc>
        <w:tc>
          <w:tcPr>
            <w:tcW w:type="dxa" w:w="1728"/>
            <w:shd w:fill="E8EEF4"/>
          </w:tcPr>
          <w:p>
            <w:r>
              <w:rPr>
                <w:b/>
              </w:rPr>
              <w:t>AI/Tools</w:t>
            </w:r>
          </w:p>
        </w:tc>
        <w:tc>
          <w:tcPr>
            <w:tcW w:type="dxa" w:w="1728"/>
            <w:shd w:fill="E8EEF4"/>
          </w:tcPr>
          <w:p>
            <w:r>
              <w:rPr>
                <w:b/>
              </w:rPr>
              <w:t>Net Cumulative</w:t>
            </w:r>
          </w:p>
        </w:tc>
      </w:tr>
      <w:tr>
        <w:tc>
          <w:tcPr>
            <w:tcW w:type="dxa" w:w="1728"/>
          </w:tcPr>
          <w:p>
            <w:r>
              <w:t>1</w:t>
            </w:r>
          </w:p>
        </w:tc>
        <w:tc>
          <w:tcPr>
            <w:tcW w:type="dxa" w:w="1728"/>
          </w:tcPr>
          <w:p>
            <w:r>
              <w:t>$0</w:t>
            </w:r>
          </w:p>
        </w:tc>
        <w:tc>
          <w:tcPr>
            <w:tcW w:type="dxa" w:w="1728"/>
          </w:tcPr>
          <w:p>
            <w:r>
              <w:t>$1,125</w:t>
            </w:r>
          </w:p>
        </w:tc>
        <w:tc>
          <w:tcPr>
            <w:tcW w:type="dxa" w:w="1728"/>
          </w:tcPr>
          <w:p>
            <w:r>
              <w:t>$1,390</w:t>
            </w:r>
          </w:p>
        </w:tc>
        <w:tc>
          <w:tcPr>
            <w:tcW w:type="dxa" w:w="1728"/>
          </w:tcPr>
          <w:p>
            <w:pPr>
              <w:jc w:val="right"/>
            </w:pPr>
            <w:r>
              <w:t>($2,515)</w:t>
            </w:r>
          </w:p>
        </w:tc>
      </w:tr>
      <w:tr>
        <w:tc>
          <w:tcPr>
            <w:tcW w:type="dxa" w:w="1728"/>
          </w:tcPr>
          <w:p>
            <w:r>
              <w:t>2</w:t>
            </w:r>
          </w:p>
        </w:tc>
        <w:tc>
          <w:tcPr>
            <w:tcW w:type="dxa" w:w="1728"/>
          </w:tcPr>
          <w:p>
            <w:r>
              <w:t>$3,500</w:t>
            </w:r>
          </w:p>
        </w:tc>
        <w:tc>
          <w:tcPr>
            <w:tcW w:type="dxa" w:w="1728"/>
          </w:tcPr>
          <w:p>
            <w:r>
              <w:t>$1,875</w:t>
            </w:r>
          </w:p>
        </w:tc>
        <w:tc>
          <w:tcPr>
            <w:tcW w:type="dxa" w:w="1728"/>
          </w:tcPr>
          <w:p>
            <w:r>
              <w:t>$800</w:t>
            </w:r>
          </w:p>
        </w:tc>
        <w:tc>
          <w:tcPr>
            <w:tcW w:type="dxa" w:w="1728"/>
          </w:tcPr>
          <w:p>
            <w:pPr>
              <w:jc w:val="right"/>
            </w:pPr>
            <w:r>
              <w:t>($690)</w:t>
            </w:r>
          </w:p>
        </w:tc>
      </w:tr>
      <w:tr>
        <w:tc>
          <w:tcPr>
            <w:tcW w:type="dxa" w:w="1728"/>
          </w:tcPr>
          <w:p>
            <w:r>
              <w:t>3</w:t>
            </w:r>
          </w:p>
        </w:tc>
        <w:tc>
          <w:tcPr>
            <w:tcW w:type="dxa" w:w="1728"/>
          </w:tcPr>
          <w:p>
            <w:r>
              <w:t>$15,000</w:t>
            </w:r>
          </w:p>
        </w:tc>
        <w:tc>
          <w:tcPr>
            <w:tcW w:type="dxa" w:w="1728"/>
          </w:tcPr>
          <w:p>
            <w:r>
              <w:t>$1,875</w:t>
            </w:r>
          </w:p>
        </w:tc>
        <w:tc>
          <w:tcPr>
            <w:tcW w:type="dxa" w:w="1728"/>
          </w:tcPr>
          <w:p>
            <w:r>
              <w:t>$800</w:t>
            </w:r>
          </w:p>
        </w:tc>
        <w:tc>
          <w:tcPr>
            <w:tcW w:type="dxa" w:w="1728"/>
          </w:tcPr>
          <w:p>
            <w:r>
              <w:t>$11,635</w:t>
            </w:r>
          </w:p>
        </w:tc>
      </w:tr>
      <w:tr>
        <w:tc>
          <w:tcPr>
            <w:tcW w:type="dxa" w:w="1728"/>
          </w:tcPr>
          <w:p>
            <w:r>
              <w:t>4</w:t>
            </w:r>
          </w:p>
        </w:tc>
        <w:tc>
          <w:tcPr>
            <w:tcW w:type="dxa" w:w="1728"/>
          </w:tcPr>
          <w:p>
            <w:r>
              <w:t>$8,000</w:t>
            </w:r>
          </w:p>
        </w:tc>
        <w:tc>
          <w:tcPr>
            <w:tcW w:type="dxa" w:w="1728"/>
          </w:tcPr>
          <w:p>
            <w:r>
              <w:t>$1,875</w:t>
            </w:r>
          </w:p>
        </w:tc>
        <w:tc>
          <w:tcPr>
            <w:tcW w:type="dxa" w:w="1728"/>
          </w:tcPr>
          <w:p>
            <w:r>
              <w:t>$800</w:t>
            </w:r>
          </w:p>
        </w:tc>
        <w:tc>
          <w:tcPr>
            <w:tcW w:type="dxa" w:w="1728"/>
          </w:tcPr>
          <w:p>
            <w:r>
              <w:t>$16,960</w:t>
            </w:r>
          </w:p>
        </w:tc>
      </w:tr>
      <w:tr>
        <w:tc>
          <w:tcPr>
            <w:tcW w:type="dxa" w:w="1728"/>
          </w:tcPr>
          <w:p>
            <w:r>
              <w:t>5</w:t>
            </w:r>
          </w:p>
        </w:tc>
        <w:tc>
          <w:tcPr>
            <w:tcW w:type="dxa" w:w="1728"/>
          </w:tcPr>
          <w:p>
            <w:r>
              <w:t>$15,500</w:t>
            </w:r>
          </w:p>
        </w:tc>
        <w:tc>
          <w:tcPr>
            <w:tcW w:type="dxa" w:w="1728"/>
          </w:tcPr>
          <w:p>
            <w:r>
              <w:t>$2,500</w:t>
            </w:r>
          </w:p>
        </w:tc>
        <w:tc>
          <w:tcPr>
            <w:tcW w:type="dxa" w:w="1728"/>
          </w:tcPr>
          <w:p>
            <w:r>
              <w:t>$800</w:t>
            </w:r>
          </w:p>
        </w:tc>
        <w:tc>
          <w:tcPr>
            <w:tcW w:type="dxa" w:w="1728"/>
          </w:tcPr>
          <w:p>
            <w:r>
              <w:t>$29,160</w:t>
            </w:r>
          </w:p>
        </w:tc>
      </w:tr>
      <w:tr>
        <w:tc>
          <w:tcPr>
            <w:tcW w:type="dxa" w:w="1728"/>
          </w:tcPr>
          <w:p>
            <w:r>
              <w:t>6</w:t>
            </w:r>
          </w:p>
        </w:tc>
        <w:tc>
          <w:tcPr>
            <w:tcW w:type="dxa" w:w="1728"/>
          </w:tcPr>
          <w:p>
            <w:r>
              <w:t>$15,000</w:t>
            </w:r>
          </w:p>
        </w:tc>
        <w:tc>
          <w:tcPr>
            <w:tcW w:type="dxa" w:w="1728"/>
          </w:tcPr>
          <w:p>
            <w:r>
              <w:t>$2,500</w:t>
            </w:r>
          </w:p>
        </w:tc>
        <w:tc>
          <w:tcPr>
            <w:tcW w:type="dxa" w:w="1728"/>
          </w:tcPr>
          <w:p>
            <w:r>
              <w:t>$800</w:t>
            </w:r>
          </w:p>
        </w:tc>
        <w:tc>
          <w:tcPr>
            <w:tcW w:type="dxa" w:w="1728"/>
          </w:tcPr>
          <w:p>
            <w:r>
              <w:t>$40,860</w:t>
            </w:r>
          </w:p>
        </w:tc>
      </w:tr>
      <w:tr>
        <w:tc>
          <w:tcPr>
            <w:tcW w:type="dxa" w:w="1728"/>
          </w:tcPr>
          <w:p/>
        </w:tc>
        <w:tc>
          <w:tcPr>
            <w:tcW w:type="dxa" w:w="1728"/>
          </w:tcPr>
          <w:p/>
        </w:tc>
        <w:tc>
          <w:tcPr>
            <w:tcW w:type="dxa" w:w="1728"/>
          </w:tcPr>
          <w:p/>
        </w:tc>
        <w:tc>
          <w:tcPr>
            <w:tcW w:type="dxa" w:w="1728"/>
          </w:tcPr>
          <w:p/>
        </w:tc>
        <w:tc>
          <w:tcPr>
            <w:tcW w:type="dxa" w:w="1728"/>
          </w:tcPr>
          <w:p/>
        </w:tc>
      </w:tr>
    </w:tbl>
    <w:p>
      <w:pPr>
        <w:spacing w:after="120"/>
      </w:pPr>
      <w:r>
        <w:rPr>
          <w:b w:val="0"/>
          <w:i w:val="0"/>
          <w:color w:val="2C3E50"/>
          <w:sz w:val="22"/>
        </w:rPr>
        <w:t>Break-even: Month 2 | Self-sustaining: Month 3 (revenue covers operating costs)</w:t>
      </w:r>
    </w:p>
    <w:p>
      <w:r>
        <w:br w:type="page"/>
      </w:r>
    </w:p>
    <w:p>
      <w:pPr>
        <w:pStyle w:val="Heading1"/>
      </w:pPr>
      <w:r>
        <w:rPr>
          <w:b/>
          <w:color w:val="1E3A5F"/>
          <w:sz w:val="32"/>
        </w:rPr>
        <w:t>7. IMPLEMENTATION ROADMAP</w:t>
      </w:r>
    </w:p>
    <w:p>
      <w:pPr>
        <w:pStyle w:val="Heading2"/>
      </w:pPr>
      <w:r>
        <w:rPr>
          <w:b/>
          <w:color w:val="1E3A5F"/>
          <w:sz w:val="26"/>
        </w:rPr>
        <w:t>7.1 AI Architecture Deployment (4 Waves)</w:t>
      </w:r>
    </w:p>
    <w:p>
      <w:pPr>
        <w:spacing w:after="120"/>
      </w:pPr>
      <w:r>
        <w:rPr>
          <w:b w:val="0"/>
          <w:i w:val="0"/>
          <w:color w:val="2C3E50"/>
          <w:sz w:val="22"/>
        </w:rPr>
        <w:t>See Addendum 19 for complete cost budget and implementation roadmap.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3A5F"/>
          </w:tcPr>
          <w:p>
            <w:r>
              <w:rPr>
                <w:b/>
                <w:color w:val="FFFFFF"/>
              </w:rPr>
              <w:t>Wave</w:t>
            </w:r>
          </w:p>
        </w:tc>
        <w:tc>
          <w:tcPr>
            <w:tcW w:type="dxa" w:w="1728"/>
            <w:shd w:fill="1E3A5F"/>
          </w:tcPr>
          <w:p>
            <w:r>
              <w:rPr>
                <w:b/>
                <w:color w:val="FFFFFF"/>
              </w:rPr>
              <w:t>Timeline</w:t>
            </w:r>
          </w:p>
        </w:tc>
        <w:tc>
          <w:tcPr>
            <w:tcW w:type="dxa" w:w="1728"/>
            <w:shd w:fill="1E3A5F"/>
          </w:tcPr>
          <w:p>
            <w:r>
              <w:rPr>
                <w:b/>
                <w:color w:val="FFFFFF"/>
              </w:rPr>
              <w:t>Agents Deployed</w:t>
            </w:r>
          </w:p>
        </w:tc>
        <w:tc>
          <w:tcPr>
            <w:tcW w:type="dxa" w:w="1728"/>
            <w:shd w:fill="1E3A5F"/>
          </w:tcPr>
          <w:p>
            <w:r>
              <w:rPr>
                <w:b/>
                <w:color w:val="FFFFFF"/>
              </w:rPr>
              <w:t>Cost Impact</w:t>
            </w:r>
          </w:p>
        </w:tc>
        <w:tc>
          <w:tcPr>
            <w:tcW w:type="dxa" w:w="1728"/>
            <w:shd w:fill="1E3A5F"/>
          </w:tcPr>
          <w:p>
            <w:r>
              <w:rPr>
                <w:b/>
                <w:color w:val="FFFFFF"/>
              </w:rPr>
              <w:t>Prerequisites</w:t>
            </w:r>
          </w:p>
        </w:tc>
      </w:tr>
      <w:tr>
        <w:tc>
          <w:tcPr>
            <w:tcW w:type="dxa" w:w="1728"/>
          </w:tcPr>
          <w:p>
            <w:r>
              <w:rPr>
                <w:b/>
              </w:rPr>
              <w:t>Wave 1: Foundation</w:t>
            </w:r>
          </w:p>
        </w:tc>
        <w:tc>
          <w:tcPr>
            <w:tcW w:type="dxa" w:w="1728"/>
          </w:tcPr>
          <w:p>
            <w:r>
              <w:t>Weeks 1-4</w:t>
            </w:r>
          </w:p>
        </w:tc>
        <w:tc>
          <w:tcPr>
            <w:tcW w:type="dxa" w:w="1728"/>
          </w:tcPr>
          <w:p>
            <w:r>
              <w:t>Tier 1 (4) + Enhanced existing (10) + Finance (2)</w:t>
            </w:r>
          </w:p>
        </w:tc>
        <w:tc>
          <w:tcPr>
            <w:tcW w:type="dxa" w:w="1728"/>
          </w:tcPr>
          <w:p>
            <w:r>
              <w:t>+$540/mo</w:t>
            </w:r>
          </w:p>
        </w:tc>
        <w:tc>
          <w:tcPr>
            <w:tcW w:type="dxa" w:w="1728"/>
          </w:tcPr>
          <w:p>
            <w:r>
              <w:t>None</w:t>
            </w:r>
          </w:p>
        </w:tc>
      </w:tr>
      <w:tr>
        <w:tc>
          <w:tcPr>
            <w:tcW w:type="dxa" w:w="1728"/>
          </w:tcPr>
          <w:p>
            <w:r>
              <w:rPr>
                <w:b/>
              </w:rPr>
              <w:t>Wave 2: Revenue</w:t>
            </w:r>
          </w:p>
        </w:tc>
        <w:tc>
          <w:tcPr>
            <w:tcW w:type="dxa" w:w="1728"/>
          </w:tcPr>
          <w:p>
            <w:r>
              <w:t>Weeks 5-8</w:t>
            </w:r>
          </w:p>
        </w:tc>
        <w:tc>
          <w:tcPr>
            <w:tcW w:type="dxa" w:w="1728"/>
          </w:tcPr>
          <w:p>
            <w:r>
              <w:t>Sales pipeline (3) + Client success (2) + Finance (2)</w:t>
            </w:r>
          </w:p>
        </w:tc>
        <w:tc>
          <w:tcPr>
            <w:tcW w:type="dxa" w:w="1728"/>
          </w:tcPr>
          <w:p>
            <w:r>
              <w:t>+$420/mo</w:t>
            </w:r>
          </w:p>
        </w:tc>
        <w:tc>
          <w:tcPr>
            <w:tcW w:type="dxa" w:w="1728"/>
          </w:tcPr>
          <w:p>
            <w:r>
              <w:t>Wave 1 stable</w:t>
            </w:r>
          </w:p>
        </w:tc>
      </w:tr>
      <w:tr>
        <w:tc>
          <w:tcPr>
            <w:tcW w:type="dxa" w:w="1728"/>
          </w:tcPr>
          <w:p>
            <w:r>
              <w:rPr>
                <w:b/>
              </w:rPr>
              <w:t>Wave 3: Quality</w:t>
            </w:r>
          </w:p>
        </w:tc>
        <w:tc>
          <w:tcPr>
            <w:tcW w:type="dxa" w:w="1728"/>
          </w:tcPr>
          <w:p>
            <w:r>
              <w:t>Weeks 9-12</w:t>
            </w:r>
          </w:p>
        </w:tc>
        <w:tc>
          <w:tcPr>
            <w:tcW w:type="dxa" w:w="1728"/>
          </w:tcPr>
          <w:p>
            <w:r>
              <w:t>Delivery (3) + Quality (2) + Client success (2)</w:t>
            </w:r>
          </w:p>
        </w:tc>
        <w:tc>
          <w:tcPr>
            <w:tcW w:type="dxa" w:w="1728"/>
          </w:tcPr>
          <w:p>
            <w:r>
              <w:t>+$400/mo</w:t>
            </w:r>
          </w:p>
        </w:tc>
        <w:tc>
          <w:tcPr>
            <w:tcW w:type="dxa" w:w="1728"/>
          </w:tcPr>
          <w:p>
            <w:r>
              <w:t>Wave 2 stable</w:t>
            </w:r>
          </w:p>
        </w:tc>
      </w:tr>
      <w:tr>
        <w:tc>
          <w:tcPr>
            <w:tcW w:type="dxa" w:w="1728"/>
          </w:tcPr>
          <w:p>
            <w:r>
              <w:rPr>
                <w:b/>
              </w:rPr>
              <w:t>Wave 4: Marketing</w:t>
            </w:r>
          </w:p>
        </w:tc>
        <w:tc>
          <w:tcPr>
            <w:tcW w:type="dxa" w:w="1728"/>
          </w:tcPr>
          <w:p>
            <w:r>
              <w:t>Months 4-6</w:t>
            </w:r>
          </w:p>
        </w:tc>
        <w:tc>
          <w:tcPr>
            <w:tcW w:type="dxa" w:w="1728"/>
          </w:tcPr>
          <w:p>
            <w:r>
              <w:t>Marketing (4) + Intelligence (2) + Specialists</w:t>
            </w:r>
          </w:p>
        </w:tc>
        <w:tc>
          <w:tcPr>
            <w:tcW w:type="dxa" w:w="1728"/>
          </w:tcPr>
          <w:p>
            <w:r>
              <w:t>+$470/mo</w:t>
            </w:r>
          </w:p>
        </w:tc>
        <w:tc>
          <w:tcPr>
            <w:tcW w:type="dxa" w:w="1728"/>
          </w:tcPr>
          <w:p>
            <w:r>
              <w:t>Wave 3 stable</w:t>
            </w:r>
          </w:p>
        </w:tc>
      </w:tr>
    </w:tbl>
    <w:p/>
    <w:p>
      <w:pPr>
        <w:pStyle w:val="Heading2"/>
      </w:pPr>
      <w:r>
        <w:rPr>
          <w:b/>
          <w:color w:val="1E3A5F"/>
          <w:sz w:val="26"/>
        </w:rPr>
        <w:t>7.2 Critical Path: Tier 1 Supervisor Layer</w:t>
      </w:r>
    </w:p>
    <w:p>
      <w:r>
        <w:rPr>
          <w:b/>
          <w:color w:val="C00000"/>
          <w:sz w:val="22"/>
        </w:rPr>
        <w:t>CRITICAL: The absence of Tier 1 (the supervisor layer) is the single highest-priority gap. Without orchestration, context management, and human handoff coordination, the expanded agent network will produce inconsistent outputs, miss quality gates, and generate work that cannot be safely delivered to clients. Do not deploy Wave 2 until Wave 1 is stable.</w:t>
      </w:r>
    </w:p>
    <w:p>
      <w:r>
        <w:br w:type="page"/>
      </w:r>
    </w:p>
    <w:p>
      <w:pPr>
        <w:pStyle w:val="Heading1"/>
      </w:pPr>
      <w:r>
        <w:rPr>
          <w:b/>
          <w:color w:val="1E3A5F"/>
          <w:sz w:val="32"/>
        </w:rPr>
        <w:t>8. KEY PERFORMANCE INDICATORS (KPIs)</w:t>
      </w:r>
    </w:p>
    <w:p>
      <w:pPr>
        <w:pStyle w:val="Heading2"/>
      </w:pPr>
      <w:r>
        <w:rPr>
          <w:b/>
          <w:color w:val="1E3A5F"/>
          <w:sz w:val="26"/>
        </w:rPr>
        <w:t>8.1 Business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rPr>
              <w:t>KPI</w:t>
            </w:r>
          </w:p>
        </w:tc>
        <w:tc>
          <w:tcPr>
            <w:tcW w:type="dxa" w:w="2160"/>
            <w:shd w:fill="1E3A5F"/>
          </w:tcPr>
          <w:p>
            <w:r>
              <w:rPr>
                <w:b/>
                <w:color w:val="FFFFFF"/>
              </w:rPr>
              <w:t>M3 Target</w:t>
            </w:r>
          </w:p>
        </w:tc>
        <w:tc>
          <w:tcPr>
            <w:tcW w:type="dxa" w:w="2160"/>
            <w:shd w:fill="1E3A5F"/>
          </w:tcPr>
          <w:p>
            <w:r>
              <w:rPr>
                <w:b/>
                <w:color w:val="FFFFFF"/>
              </w:rPr>
              <w:t>M6 Target</w:t>
            </w:r>
          </w:p>
        </w:tc>
        <w:tc>
          <w:tcPr>
            <w:tcW w:type="dxa" w:w="2160"/>
            <w:shd w:fill="1E3A5F"/>
          </w:tcPr>
          <w:p>
            <w:r>
              <w:rPr>
                <w:b/>
                <w:color w:val="FFFFFF"/>
              </w:rPr>
              <w:t>M12 Target</w:t>
            </w:r>
          </w:p>
        </w:tc>
      </w:tr>
      <w:tr>
        <w:tc>
          <w:tcPr>
            <w:tcW w:type="dxa" w:w="2160"/>
          </w:tcPr>
          <w:p>
            <w:r>
              <w:t>Active Clients</w:t>
            </w:r>
          </w:p>
        </w:tc>
        <w:tc>
          <w:tcPr>
            <w:tcW w:type="dxa" w:w="2160"/>
          </w:tcPr>
          <w:p>
            <w:pPr>
              <w:jc w:val="center"/>
            </w:pPr>
            <w:r>
              <w:t>1-2</w:t>
            </w:r>
          </w:p>
        </w:tc>
        <w:tc>
          <w:tcPr>
            <w:tcW w:type="dxa" w:w="2160"/>
          </w:tcPr>
          <w:p>
            <w:pPr>
              <w:jc w:val="center"/>
            </w:pPr>
            <w:r>
              <w:t>3-4</w:t>
            </w:r>
          </w:p>
        </w:tc>
        <w:tc>
          <w:tcPr>
            <w:tcW w:type="dxa" w:w="2160"/>
          </w:tcPr>
          <w:p>
            <w:pPr>
              <w:jc w:val="center"/>
            </w:pPr>
            <w:r>
              <w:t>5-7</w:t>
            </w:r>
          </w:p>
        </w:tc>
      </w:tr>
      <w:tr>
        <w:tc>
          <w:tcPr>
            <w:tcW w:type="dxa" w:w="2160"/>
          </w:tcPr>
          <w:p>
            <w:r>
              <w:t>Monthly Recurring Revenue</w:t>
            </w:r>
          </w:p>
        </w:tc>
        <w:tc>
          <w:tcPr>
            <w:tcW w:type="dxa" w:w="2160"/>
          </w:tcPr>
          <w:p>
            <w:pPr>
              <w:jc w:val="center"/>
            </w:pPr>
            <w:r>
              <w:t>$0</w:t>
            </w:r>
          </w:p>
        </w:tc>
        <w:tc>
          <w:tcPr>
            <w:tcW w:type="dxa" w:w="2160"/>
          </w:tcPr>
          <w:p>
            <w:pPr>
              <w:jc w:val="center"/>
            </w:pPr>
            <w:r>
              <w:t>$3,500</w:t>
            </w:r>
          </w:p>
        </w:tc>
        <w:tc>
          <w:tcPr>
            <w:tcW w:type="dxa" w:w="2160"/>
          </w:tcPr>
          <w:p>
            <w:pPr>
              <w:jc w:val="center"/>
            </w:pPr>
            <w:r>
              <w:t>$7,000</w:t>
            </w:r>
          </w:p>
        </w:tc>
      </w:tr>
      <w:tr>
        <w:tc>
          <w:tcPr>
            <w:tcW w:type="dxa" w:w="2160"/>
          </w:tcPr>
          <w:p>
            <w:r>
              <w:t>Project Gross Margin</w:t>
            </w:r>
          </w:p>
        </w:tc>
        <w:tc>
          <w:tcPr>
            <w:tcW w:type="dxa" w:w="2160"/>
          </w:tcPr>
          <w:p>
            <w:pPr>
              <w:jc w:val="center"/>
            </w:pPr>
            <w:r>
              <w:t>≥85%</w:t>
            </w:r>
          </w:p>
        </w:tc>
        <w:tc>
          <w:tcPr>
            <w:tcW w:type="dxa" w:w="2160"/>
          </w:tcPr>
          <w:p>
            <w:pPr>
              <w:jc w:val="center"/>
            </w:pPr>
            <w:r>
              <w:t>≥75%</w:t>
            </w:r>
          </w:p>
        </w:tc>
        <w:tc>
          <w:tcPr>
            <w:tcW w:type="dxa" w:w="2160"/>
          </w:tcPr>
          <w:p>
            <w:pPr>
              <w:jc w:val="center"/>
            </w:pPr>
            <w:r>
              <w:t>≥75%</w:t>
            </w:r>
          </w:p>
        </w:tc>
      </w:tr>
      <w:tr>
        <w:tc>
          <w:tcPr>
            <w:tcW w:type="dxa" w:w="2160"/>
          </w:tcPr>
          <w:p>
            <w:r>
              <w:t>Average Project Value</w:t>
            </w:r>
          </w:p>
        </w:tc>
        <w:tc>
          <w:tcPr>
            <w:tcW w:type="dxa" w:w="2160"/>
          </w:tcPr>
          <w:p>
            <w:pPr>
              <w:jc w:val="center"/>
            </w:pPr>
            <w:r>
              <w:t>$3,500</w:t>
            </w:r>
          </w:p>
        </w:tc>
        <w:tc>
          <w:tcPr>
            <w:tcW w:type="dxa" w:w="2160"/>
          </w:tcPr>
          <w:p>
            <w:pPr>
              <w:jc w:val="center"/>
            </w:pPr>
            <w:r>
              <w:t>$8,000</w:t>
            </w:r>
          </w:p>
        </w:tc>
        <w:tc>
          <w:tcPr>
            <w:tcW w:type="dxa" w:w="2160"/>
          </w:tcPr>
          <w:p>
            <w:pPr>
              <w:jc w:val="center"/>
            </w:pPr>
            <w:r>
              <w:t>$10,000</w:t>
            </w:r>
          </w:p>
        </w:tc>
      </w:tr>
      <w:tr>
        <w:tc>
          <w:tcPr>
            <w:tcW w:type="dxa" w:w="2160"/>
          </w:tcPr>
          <w:p>
            <w:r>
              <w:t>Retainer Conversion Rate</w:t>
            </w:r>
          </w:p>
        </w:tc>
        <w:tc>
          <w:tcPr>
            <w:tcW w:type="dxa" w:w="2160"/>
          </w:tcPr>
          <w:p>
            <w:pPr>
              <w:jc w:val="center"/>
            </w:pPr>
            <w:r>
              <w:t>—</w:t>
            </w:r>
          </w:p>
        </w:tc>
        <w:tc>
          <w:tcPr>
            <w:tcW w:type="dxa" w:w="2160"/>
          </w:tcPr>
          <w:p>
            <w:pPr>
              <w:jc w:val="center"/>
            </w:pPr>
            <w:r>
              <w:t>≥25%</w:t>
            </w:r>
          </w:p>
        </w:tc>
        <w:tc>
          <w:tcPr>
            <w:tcW w:type="dxa" w:w="2160"/>
          </w:tcPr>
          <w:p>
            <w:pPr>
              <w:jc w:val="center"/>
            </w:pPr>
            <w:r>
              <w:t>≥40%</w:t>
            </w:r>
          </w:p>
        </w:tc>
      </w:tr>
      <w:tr>
        <w:tc>
          <w:tcPr>
            <w:tcW w:type="dxa" w:w="2160"/>
          </w:tcPr>
          <w:p>
            <w:r>
              <w:t>Outbound Contacts/Month</w:t>
            </w:r>
          </w:p>
        </w:tc>
        <w:tc>
          <w:tcPr>
            <w:tcW w:type="dxa" w:w="2160"/>
          </w:tcPr>
          <w:p>
            <w:pPr>
              <w:jc w:val="center"/>
            </w:pPr>
            <w:r>
              <w:t>2,000</w:t>
            </w:r>
          </w:p>
        </w:tc>
        <w:tc>
          <w:tcPr>
            <w:tcW w:type="dxa" w:w="2160"/>
          </w:tcPr>
          <w:p>
            <w:pPr>
              <w:jc w:val="center"/>
            </w:pPr>
            <w:r>
              <w:t>2,000</w:t>
            </w:r>
          </w:p>
        </w:tc>
        <w:tc>
          <w:tcPr>
            <w:tcW w:type="dxa" w:w="2160"/>
          </w:tcPr>
          <w:p>
            <w:pPr>
              <w:jc w:val="center"/>
            </w:pPr>
            <w:r>
              <w:t>2,000</w:t>
            </w:r>
          </w:p>
        </w:tc>
      </w:tr>
      <w:tr>
        <w:tc>
          <w:tcPr>
            <w:tcW w:type="dxa" w:w="2160"/>
          </w:tcPr>
          <w:p>
            <w:r>
              <w:t>Proposal-to-Close Rate</w:t>
            </w:r>
          </w:p>
        </w:tc>
        <w:tc>
          <w:tcPr>
            <w:tcW w:type="dxa" w:w="2160"/>
          </w:tcPr>
          <w:p>
            <w:pPr>
              <w:jc w:val="center"/>
            </w:pPr>
            <w:r>
              <w:t>≥20%</w:t>
            </w:r>
          </w:p>
        </w:tc>
        <w:tc>
          <w:tcPr>
            <w:tcW w:type="dxa" w:w="2160"/>
          </w:tcPr>
          <w:p>
            <w:pPr>
              <w:jc w:val="center"/>
            </w:pPr>
            <w:r>
              <w:t>≥30%</w:t>
            </w:r>
          </w:p>
        </w:tc>
        <w:tc>
          <w:tcPr>
            <w:tcW w:type="dxa" w:w="2160"/>
          </w:tcPr>
          <w:p>
            <w:pPr>
              <w:jc w:val="center"/>
            </w:pPr>
            <w:r>
              <w:t>≥35%</w:t>
            </w:r>
          </w:p>
        </w:tc>
      </w:tr>
    </w:tbl>
    <w:p/>
    <w:p>
      <w:pPr>
        <w:pStyle w:val="Heading2"/>
      </w:pPr>
      <w:r>
        <w:rPr>
          <w:b/>
          <w:color w:val="1E3A5F"/>
          <w:sz w:val="26"/>
        </w:rPr>
        <w:t>8.2 AI Governance Metrics</w:t>
      </w:r>
    </w:p>
    <w:tbl>
      <w:tblPr>
        <w:tblStyle w:val="TableGrid"/>
        <w:tblW w:type="auto" w:w="0"/>
        <w:tblLook w:firstColumn="1" w:firstRow="1" w:lastColumn="0" w:lastRow="0" w:noHBand="0" w:noVBand="1" w:val="04A0"/>
      </w:tblPr>
      <w:tblGrid>
        <w:gridCol w:w="2880"/>
        <w:gridCol w:w="2880"/>
        <w:gridCol w:w="2880"/>
      </w:tblGrid>
      <w:tr>
        <w:tc>
          <w:tcPr>
            <w:tcW w:type="dxa" w:w="2880"/>
            <w:shd w:fill="E8EEF4"/>
          </w:tcPr>
          <w:p>
            <w:r>
              <w:rPr>
                <w:b/>
              </w:rPr>
              <w:t>KPI</w:t>
            </w:r>
          </w:p>
        </w:tc>
        <w:tc>
          <w:tcPr>
            <w:tcW w:type="dxa" w:w="2880"/>
            <w:shd w:fill="E8EEF4"/>
          </w:tcPr>
          <w:p>
            <w:r>
              <w:rPr>
                <w:b/>
              </w:rPr>
              <w:t>Target</w:t>
            </w:r>
          </w:p>
        </w:tc>
        <w:tc>
          <w:tcPr>
            <w:tcW w:type="dxa" w:w="2880"/>
            <w:shd w:fill="E8EEF4"/>
          </w:tcPr>
          <w:p>
            <w:r>
              <w:rPr>
                <w:b/>
              </w:rPr>
              <w:t>Owner</w:t>
            </w:r>
          </w:p>
        </w:tc>
      </w:tr>
      <w:tr>
        <w:tc>
          <w:tcPr>
            <w:tcW w:type="dxa" w:w="2880"/>
          </w:tcPr>
          <w:p>
            <w:r>
              <w:t>AI Output Copyright Risk Score</w:t>
            </w:r>
          </w:p>
        </w:tc>
        <w:tc>
          <w:tcPr>
            <w:tcW w:type="dxa" w:w="2880"/>
          </w:tcPr>
          <w:p>
            <w:r>
              <w:t>&lt;5% flagged by IPGA</w:t>
            </w:r>
          </w:p>
        </w:tc>
        <w:tc>
          <w:tcPr>
            <w:tcW w:type="dxa" w:w="2880"/>
          </w:tcPr>
          <w:p>
            <w:r>
              <w:t>ARE</w:t>
            </w:r>
          </w:p>
        </w:tc>
      </w:tr>
      <w:tr>
        <w:tc>
          <w:tcPr>
            <w:tcW w:type="dxa" w:w="2880"/>
          </w:tcPr>
          <w:p>
            <w:r>
              <w:t>Security Vulnerabilities (Critical)</w:t>
            </w:r>
          </w:p>
        </w:tc>
        <w:tc>
          <w:tcPr>
            <w:tcW w:type="dxa" w:w="2880"/>
          </w:tcPr>
          <w:p>
            <w:r>
              <w:t>0 per release</w:t>
            </w:r>
          </w:p>
        </w:tc>
        <w:tc>
          <w:tcPr>
            <w:tcW w:type="dxa" w:w="2880"/>
          </w:tcPr>
          <w:p>
            <w:r>
              <w:t>SCA + ARE</w:t>
            </w:r>
          </w:p>
        </w:tc>
      </w:tr>
      <w:tr>
        <w:tc>
          <w:tcPr>
            <w:tcW w:type="dxa" w:w="2880"/>
          </w:tcPr>
          <w:p>
            <w:r>
              <w:t>SBOM Generation Coverage</w:t>
            </w:r>
          </w:p>
        </w:tc>
        <w:tc>
          <w:tcPr>
            <w:tcW w:type="dxa" w:w="2880"/>
          </w:tcPr>
          <w:p>
            <w:r>
              <w:t>100% of projects</w:t>
            </w:r>
          </w:p>
        </w:tc>
        <w:tc>
          <w:tcPr>
            <w:tcW w:type="dxa" w:w="2880"/>
          </w:tcPr>
          <w:p>
            <w:r>
              <w:t>SCA</w:t>
            </w:r>
          </w:p>
        </w:tc>
      </w:tr>
      <w:tr>
        <w:tc>
          <w:tcPr>
            <w:tcW w:type="dxa" w:w="2880"/>
          </w:tcPr>
          <w:p>
            <w:r>
              <w:t>AI Drift Score (Quality Variance)</w:t>
            </w:r>
          </w:p>
        </w:tc>
        <w:tc>
          <w:tcPr>
            <w:tcW w:type="dxa" w:w="2880"/>
          </w:tcPr>
          <w:p>
            <w:r>
              <w:t>&lt;10% month-over-month</w:t>
            </w:r>
          </w:p>
        </w:tc>
        <w:tc>
          <w:tcPr>
            <w:tcW w:type="dxa" w:w="2880"/>
          </w:tcPr>
          <w:p>
            <w:r>
              <w:t>QADM</w:t>
            </w:r>
          </w:p>
        </w:tc>
      </w:tr>
      <w:tr>
        <w:tc>
          <w:tcPr>
            <w:tcW w:type="dxa" w:w="2880"/>
          </w:tcPr>
          <w:p>
            <w:r>
              <w:t>Defect Capture Rate</w:t>
            </w:r>
          </w:p>
        </w:tc>
        <w:tc>
          <w:tcPr>
            <w:tcW w:type="dxa" w:w="2880"/>
          </w:tcPr>
          <w:p>
            <w:r>
              <w:t>≥95%</w:t>
            </w:r>
          </w:p>
        </w:tc>
        <w:tc>
          <w:tcPr>
            <w:tcW w:type="dxa" w:w="2880"/>
          </w:tcPr>
          <w:p>
            <w:r>
              <w:t>ARE</w:t>
            </w:r>
          </w:p>
        </w:tc>
      </w:tr>
      <w:tr>
        <w:tc>
          <w:tcPr>
            <w:tcW w:type="dxa" w:w="2880"/>
          </w:tcPr>
          <w:p>
            <w:r>
              <w:t>Human Handoff Rate</w:t>
            </w:r>
          </w:p>
        </w:tc>
        <w:tc>
          <w:tcPr>
            <w:tcW w:type="dxa" w:w="2880"/>
          </w:tcPr>
          <w:p>
            <w:r>
              <w:t>&lt;15% of tasks</w:t>
            </w:r>
          </w:p>
        </w:tc>
        <w:tc>
          <w:tcPr>
            <w:tcW w:type="dxa" w:w="2880"/>
          </w:tcPr>
          <w:p>
            <w:r>
              <w:t>HHC</w:t>
            </w:r>
          </w:p>
        </w:tc>
      </w:tr>
    </w:tbl>
    <w:p>
      <w:r>
        <w:br w:type="page"/>
      </w:r>
    </w:p>
    <w:p>
      <w:pPr>
        <w:pStyle w:val="Heading1"/>
      </w:pPr>
      <w:r>
        <w:rPr>
          <w:b/>
          <w:color w:val="1E3A5F"/>
          <w:sz w:val="32"/>
        </w:rPr>
        <w:t>9. APPENDICES &amp; RELATED DOCUMENTS</w:t>
      </w:r>
    </w:p>
    <w:p>
      <w:pPr>
        <w:spacing w:after="120"/>
      </w:pPr>
      <w:r>
        <w:rPr>
          <w:b w:val="0"/>
          <w:i w:val="0"/>
          <w:color w:val="2C3E50"/>
          <w:sz w:val="22"/>
        </w:rPr>
        <w:t>This Business Plan is supported by the following addendums:</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rPr>
              <w:t>Addendum</w:t>
            </w:r>
          </w:p>
        </w:tc>
        <w:tc>
          <w:tcPr>
            <w:tcW w:type="dxa" w:w="2880"/>
            <w:shd w:fill="1E3A5F"/>
          </w:tcPr>
          <w:p>
            <w:r>
              <w:rPr>
                <w:b/>
                <w:color w:val="FFFFFF"/>
              </w:rPr>
              <w:t>Title</w:t>
            </w:r>
          </w:p>
        </w:tc>
        <w:tc>
          <w:tcPr>
            <w:tcW w:type="dxa" w:w="2880"/>
            <w:shd w:fill="1E3A5F"/>
          </w:tcPr>
          <w:p>
            <w:r>
              <w:rPr>
                <w:b/>
                <w:color w:val="FFFFFF"/>
              </w:rPr>
              <w:t>Purpose</w:t>
            </w:r>
          </w:p>
        </w:tc>
      </w:tr>
      <w:tr>
        <w:tc>
          <w:tcPr>
            <w:tcW w:type="dxa" w:w="2880"/>
          </w:tcPr>
          <w:p>
            <w:pPr>
              <w:jc w:val="center"/>
            </w:pPr>
            <w:r>
              <w:t>1</w:t>
            </w:r>
          </w:p>
        </w:tc>
        <w:tc>
          <w:tcPr>
            <w:tcW w:type="dxa" w:w="2880"/>
          </w:tcPr>
          <w:p>
            <w:r>
              <w:t>Organizational Architecture Resolution</w:t>
            </w:r>
          </w:p>
        </w:tc>
        <w:tc>
          <w:tcPr>
            <w:tcW w:type="dxa" w:w="2880"/>
          </w:tcPr>
          <w:p>
            <w:r>
              <w:t>Formalizes Centaur Pod model for Year 1</w:t>
            </w:r>
          </w:p>
        </w:tc>
      </w:tr>
      <w:tr>
        <w:tc>
          <w:tcPr>
            <w:tcW w:type="dxa" w:w="2880"/>
          </w:tcPr>
          <w:p>
            <w:pPr>
              <w:jc w:val="center"/>
            </w:pPr>
            <w:r>
              <w:t>2</w:t>
            </w:r>
          </w:p>
        </w:tc>
        <w:tc>
          <w:tcPr>
            <w:tcW w:type="dxa" w:w="2880"/>
          </w:tcPr>
          <w:p>
            <w:r>
              <w:t>Master Service Agreement</w:t>
            </w:r>
          </w:p>
        </w:tc>
        <w:tc>
          <w:tcPr>
            <w:tcW w:type="dxa" w:w="2880"/>
          </w:tcPr>
          <w:p>
            <w:r>
              <w:t>Full legal template for client engagements</w:t>
            </w:r>
          </w:p>
        </w:tc>
      </w:tr>
      <w:tr>
        <w:tc>
          <w:tcPr>
            <w:tcW w:type="dxa" w:w="2880"/>
          </w:tcPr>
          <w:p>
            <w:pPr>
              <w:jc w:val="center"/>
            </w:pPr>
            <w:r>
              <w:t>3</w:t>
            </w:r>
          </w:p>
        </w:tc>
        <w:tc>
          <w:tcPr>
            <w:tcW w:type="dxa" w:w="2880"/>
          </w:tcPr>
          <w:p>
            <w:r>
              <w:t>Statement of Work</w:t>
            </w:r>
          </w:p>
        </w:tc>
        <w:tc>
          <w:tcPr>
            <w:tcW w:type="dxa" w:w="2880"/>
          </w:tcPr>
          <w:p>
            <w:r>
              <w:t>Project-specific scope and deliverables template</w:t>
            </w:r>
          </w:p>
        </w:tc>
      </w:tr>
      <w:tr>
        <w:tc>
          <w:tcPr>
            <w:tcW w:type="dxa" w:w="2880"/>
          </w:tcPr>
          <w:p>
            <w:pPr>
              <w:jc w:val="center"/>
            </w:pPr>
            <w:r>
              <w:t>4</w:t>
            </w:r>
          </w:p>
        </w:tc>
        <w:tc>
          <w:tcPr>
            <w:tcW w:type="dxa" w:w="2880"/>
          </w:tcPr>
          <w:p>
            <w:r>
              <w:t>Non-Disclosure Agreement</w:t>
            </w:r>
          </w:p>
        </w:tc>
        <w:tc>
          <w:tcPr>
            <w:tcW w:type="dxa" w:w="2880"/>
          </w:tcPr>
          <w:p>
            <w:r>
              <w:t>Mutual NDA template</w:t>
            </w:r>
          </w:p>
        </w:tc>
      </w:tr>
      <w:tr>
        <w:tc>
          <w:tcPr>
            <w:tcW w:type="dxa" w:w="2880"/>
          </w:tcPr>
          <w:p>
            <w:pPr>
              <w:jc w:val="center"/>
            </w:pPr>
            <w:r>
              <w:t>5</w:t>
            </w:r>
          </w:p>
        </w:tc>
        <w:tc>
          <w:tcPr>
            <w:tcW w:type="dxa" w:w="2880"/>
          </w:tcPr>
          <w:p>
            <w:r>
              <w:t>Client Evaluation Scorecard</w:t>
            </w:r>
          </w:p>
        </w:tc>
        <w:tc>
          <w:tcPr>
            <w:tcW w:type="dxa" w:w="2880"/>
          </w:tcPr>
          <w:p>
            <w:r>
              <w:t>Pre-qualification tool for prospects</w:t>
            </w:r>
          </w:p>
        </w:tc>
      </w:tr>
      <w:tr>
        <w:tc>
          <w:tcPr>
            <w:tcW w:type="dxa" w:w="2880"/>
          </w:tcPr>
          <w:p>
            <w:pPr>
              <w:jc w:val="center"/>
            </w:pPr>
            <w:r>
              <w:t>6</w:t>
            </w:r>
          </w:p>
        </w:tc>
        <w:tc>
          <w:tcPr>
            <w:tcW w:type="dxa" w:w="2880"/>
          </w:tcPr>
          <w:p>
            <w:r>
              <w:t>Pre-Engagement Questionnaire</w:t>
            </w:r>
          </w:p>
        </w:tc>
        <w:tc>
          <w:tcPr>
            <w:tcW w:type="dxa" w:w="2880"/>
          </w:tcPr>
          <w:p>
            <w:r>
              <w:t>Client intake form</w:t>
            </w:r>
          </w:p>
        </w:tc>
      </w:tr>
      <w:tr>
        <w:tc>
          <w:tcPr>
            <w:tcW w:type="dxa" w:w="2880"/>
          </w:tcPr>
          <w:p>
            <w:pPr>
              <w:jc w:val="center"/>
            </w:pPr>
            <w:r>
              <w:t>7</w:t>
            </w:r>
          </w:p>
        </w:tc>
        <w:tc>
          <w:tcPr>
            <w:tcW w:type="dxa" w:w="2880"/>
          </w:tcPr>
          <w:p>
            <w:r>
              <w:t>Project Proposal Template</w:t>
            </w:r>
          </w:p>
        </w:tc>
        <w:tc>
          <w:tcPr>
            <w:tcW w:type="dxa" w:w="2880"/>
          </w:tcPr>
          <w:p>
            <w:r>
              <w:t>Professional proposal format</w:t>
            </w:r>
          </w:p>
        </w:tc>
      </w:tr>
      <w:tr>
        <w:tc>
          <w:tcPr>
            <w:tcW w:type="dxa" w:w="2880"/>
          </w:tcPr>
          <w:p>
            <w:pPr>
              <w:jc w:val="center"/>
            </w:pPr>
            <w:r>
              <w:t>8</w:t>
            </w:r>
          </w:p>
        </w:tc>
        <w:tc>
          <w:tcPr>
            <w:tcW w:type="dxa" w:w="2880"/>
          </w:tcPr>
          <w:p>
            <w:r>
              <w:t>QA Multi-Pass Checklist</w:t>
            </w:r>
          </w:p>
        </w:tc>
        <w:tc>
          <w:tcPr>
            <w:tcW w:type="dxa" w:w="2880"/>
          </w:tcPr>
          <w:p>
            <w:r>
              <w:t>Quality assurance verification form</w:t>
            </w:r>
          </w:p>
        </w:tc>
      </w:tr>
      <w:tr>
        <w:tc>
          <w:tcPr>
            <w:tcW w:type="dxa" w:w="2880"/>
          </w:tcPr>
          <w:p>
            <w:pPr>
              <w:jc w:val="center"/>
            </w:pPr>
            <w:r>
              <w:t>9</w:t>
            </w:r>
          </w:p>
        </w:tc>
        <w:tc>
          <w:tcPr>
            <w:tcW w:type="dxa" w:w="2880"/>
          </w:tcPr>
          <w:p>
            <w:r>
              <w:t>Completion Report Template</w:t>
            </w:r>
          </w:p>
        </w:tc>
        <w:tc>
          <w:tcPr>
            <w:tcW w:type="dxa" w:w="2880"/>
          </w:tcPr>
          <w:p>
            <w:r>
              <w:t>Project close-out documentation</w:t>
            </w:r>
          </w:p>
        </w:tc>
      </w:tr>
      <w:tr>
        <w:tc>
          <w:tcPr>
            <w:tcW w:type="dxa" w:w="2880"/>
          </w:tcPr>
          <w:p>
            <w:pPr>
              <w:jc w:val="center"/>
            </w:pPr>
            <w:r>
              <w:t>10</w:t>
            </w:r>
          </w:p>
        </w:tc>
        <w:tc>
          <w:tcPr>
            <w:tcW w:type="dxa" w:w="2880"/>
          </w:tcPr>
          <w:p>
            <w:r>
              <w:t>Release Sign-Off Form</w:t>
            </w:r>
          </w:p>
        </w:tc>
        <w:tc>
          <w:tcPr>
            <w:tcW w:type="dxa" w:w="2880"/>
          </w:tcPr>
          <w:p>
            <w:r>
              <w:t>Client acceptance and payment authorization</w:t>
            </w:r>
          </w:p>
        </w:tc>
      </w:tr>
      <w:tr>
        <w:tc>
          <w:tcPr>
            <w:tcW w:type="dxa" w:w="2880"/>
          </w:tcPr>
          <w:p>
            <w:pPr>
              <w:jc w:val="center"/>
            </w:pPr>
            <w:r>
              <w:t>11</w:t>
            </w:r>
          </w:p>
        </w:tc>
        <w:tc>
          <w:tcPr>
            <w:tcW w:type="dxa" w:w="2880"/>
          </w:tcPr>
          <w:p>
            <w:r>
              <w:t>Invoice Template</w:t>
            </w:r>
          </w:p>
        </w:tc>
        <w:tc>
          <w:tcPr>
            <w:tcW w:type="dxa" w:w="2880"/>
          </w:tcPr>
          <w:p>
            <w:r>
              <w:t>Professional invoice format</w:t>
            </w:r>
          </w:p>
        </w:tc>
      </w:tr>
      <w:tr>
        <w:tc>
          <w:tcPr>
            <w:tcW w:type="dxa" w:w="2880"/>
          </w:tcPr>
          <w:p>
            <w:pPr>
              <w:jc w:val="center"/>
            </w:pPr>
            <w:r>
              <w:t>12</w:t>
            </w:r>
          </w:p>
        </w:tc>
        <w:tc>
          <w:tcPr>
            <w:tcW w:type="dxa" w:w="2880"/>
          </w:tcPr>
          <w:p>
            <w:r>
              <w:t>AI Sovereignty Protocol</w:t>
            </w:r>
          </w:p>
        </w:tc>
        <w:tc>
          <w:tcPr>
            <w:tcW w:type="dxa" w:w="2880"/>
          </w:tcPr>
          <w:p>
            <w:r>
              <w:t>Responsible AI use framework</w:t>
            </w:r>
          </w:p>
        </w:tc>
      </w:tr>
      <w:tr>
        <w:tc>
          <w:tcPr>
            <w:tcW w:type="dxa" w:w="2880"/>
          </w:tcPr>
          <w:p>
            <w:pPr>
              <w:jc w:val="center"/>
            </w:pPr>
            <w:r>
              <w:t>13</w:t>
            </w:r>
          </w:p>
        </w:tc>
        <w:tc>
          <w:tcPr>
            <w:tcW w:type="dxa" w:w="2880"/>
          </w:tcPr>
          <w:p>
            <w:r>
              <w:t>Tax Optimization Execution Plan</w:t>
            </w:r>
          </w:p>
        </w:tc>
        <w:tc>
          <w:tcPr>
            <w:tcW w:type="dxa" w:w="2880"/>
          </w:tcPr>
          <w:p>
            <w:r>
              <w:t>Tax strategy for Delaware LLC</w:t>
            </w:r>
          </w:p>
        </w:tc>
      </w:tr>
      <w:tr>
        <w:tc>
          <w:tcPr>
            <w:tcW w:type="dxa" w:w="2880"/>
          </w:tcPr>
          <w:p>
            <w:pPr>
              <w:jc w:val="center"/>
            </w:pPr>
            <w:r>
              <w:t>14</w:t>
            </w:r>
          </w:p>
        </w:tc>
        <w:tc>
          <w:tcPr>
            <w:tcW w:type="dxa" w:w="2880"/>
          </w:tcPr>
          <w:p>
            <w:r>
              <w:t>AI Architecture Master Document</w:t>
            </w:r>
          </w:p>
        </w:tc>
        <w:tc>
          <w:tcPr>
            <w:tcW w:type="dxa" w:w="2880"/>
          </w:tcPr>
          <w:p>
            <w:r>
              <w:t>Three-tier agent architecture specification</w:t>
            </w:r>
          </w:p>
        </w:tc>
      </w:tr>
      <w:tr>
        <w:tc>
          <w:tcPr>
            <w:tcW w:type="dxa" w:w="2880"/>
          </w:tcPr>
          <w:p>
            <w:pPr>
              <w:jc w:val="center"/>
            </w:pPr>
            <w:r>
              <w:t>15</w:t>
            </w:r>
          </w:p>
        </w:tc>
        <w:tc>
          <w:tcPr>
            <w:tcW w:type="dxa" w:w="2880"/>
          </w:tcPr>
          <w:p>
            <w:r>
              <w:t>Tier 1 Supervisor Agent Prompts</w:t>
            </w:r>
          </w:p>
        </w:tc>
        <w:tc>
          <w:tcPr>
            <w:tcW w:type="dxa" w:w="2880"/>
          </w:tcPr>
          <w:p>
            <w:r>
              <w:t>MOA, QAS, CSM, HHC system prompts</w:t>
            </w:r>
          </w:p>
        </w:tc>
      </w:tr>
      <w:tr>
        <w:tc>
          <w:tcPr>
            <w:tcW w:type="dxa" w:w="2880"/>
          </w:tcPr>
          <w:p>
            <w:pPr>
              <w:jc w:val="center"/>
            </w:pPr>
            <w:r>
              <w:t>16</w:t>
            </w:r>
          </w:p>
        </w:tc>
        <w:tc>
          <w:tcPr>
            <w:tcW w:type="dxa" w:w="2880"/>
          </w:tcPr>
          <w:p>
            <w:r>
              <w:t>Tier 2 Domain Agent Prompts</w:t>
            </w:r>
          </w:p>
        </w:tc>
        <w:tc>
          <w:tcPr>
            <w:tcW w:type="dxa" w:w="2880"/>
          </w:tcPr>
          <w:p>
            <w:r>
              <w:t>Domain execution agent prompts</w:t>
            </w:r>
          </w:p>
        </w:tc>
      </w:tr>
      <w:tr>
        <w:tc>
          <w:tcPr>
            <w:tcW w:type="dxa" w:w="2880"/>
          </w:tcPr>
          <w:p>
            <w:pPr>
              <w:jc w:val="center"/>
            </w:pPr>
            <w:r>
              <w:t>17</w:t>
            </w:r>
          </w:p>
        </w:tc>
        <w:tc>
          <w:tcPr>
            <w:tcW w:type="dxa" w:w="2880"/>
          </w:tcPr>
          <w:p>
            <w:r>
              <w:t>Tier 3 Specialist Agent Prompts</w:t>
            </w:r>
          </w:p>
        </w:tc>
        <w:tc>
          <w:tcPr>
            <w:tcW w:type="dxa" w:w="2880"/>
          </w:tcPr>
          <w:p>
            <w:r>
              <w:t>On-demand specialist agent prompts</w:t>
            </w:r>
          </w:p>
        </w:tc>
      </w:tr>
      <w:tr>
        <w:tc>
          <w:tcPr>
            <w:tcW w:type="dxa" w:w="2880"/>
          </w:tcPr>
          <w:p>
            <w:pPr>
              <w:jc w:val="center"/>
            </w:pPr>
            <w:r>
              <w:t>18</w:t>
            </w:r>
          </w:p>
        </w:tc>
        <w:tc>
          <w:tcPr>
            <w:tcW w:type="dxa" w:w="2880"/>
          </w:tcPr>
          <w:p>
            <w:r>
              <w:t>Human Handoff Protocol</w:t>
            </w:r>
          </w:p>
        </w:tc>
        <w:tc>
          <w:tcPr>
            <w:tcW w:type="dxa" w:w="2880"/>
          </w:tcPr>
          <w:p>
            <w:r>
              <w:t>Escalation and routing framework</w:t>
            </w:r>
          </w:p>
        </w:tc>
      </w:tr>
      <w:tr>
        <w:tc>
          <w:tcPr>
            <w:tcW w:type="dxa" w:w="2880"/>
          </w:tcPr>
          <w:p>
            <w:pPr>
              <w:jc w:val="center"/>
            </w:pPr>
            <w:r>
              <w:t>19</w:t>
            </w:r>
          </w:p>
        </w:tc>
        <w:tc>
          <w:tcPr>
            <w:tcW w:type="dxa" w:w="2880"/>
          </w:tcPr>
          <w:p>
            <w:r>
              <w:t>Cost Budget &amp; Roadmap</w:t>
            </w:r>
          </w:p>
        </w:tc>
        <w:tc>
          <w:tcPr>
            <w:tcW w:type="dxa" w:w="2880"/>
          </w:tcPr>
          <w:p>
            <w:r>
              <w:t>Implementation timeline and costs</w:t>
            </w:r>
          </w:p>
        </w:tc>
      </w:tr>
    </w:tbl>
    <w:p/>
    <w:p/>
    <w:p>
      <w:pPr>
        <w:jc w:val="center"/>
      </w:pPr>
      <w:r>
        <w:rPr>
          <w:b/>
          <w:color w:val="1E3A5F"/>
          <w:sz w:val="28"/>
        </w:rPr>
        <w:t>NoDrftSystems</w:t>
        <w:br/>
        <w:t>Zero Drift. Zero Compromise. Built to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