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E3A5F"/>
          <w:sz w:val="40"/>
        </w:rPr>
        <w:t>ADDENDUM 13</w:t>
      </w:r>
    </w:p>
    <w:p>
      <w:pPr>
        <w:jc w:val="center"/>
      </w:pPr>
      <w:r>
        <w:rPr>
          <w:b/>
          <w:color w:val="1E3A5F"/>
          <w:sz w:val="32"/>
        </w:rPr>
        <w:t>Tax Optimization Execution Plan</w:t>
      </w:r>
    </w:p>
    <w:p/>
    <w:tbl>
      <w:tblPr>
        <w:tblStyle w:val="TableGrid"/>
        <w:tblW w:type="auto" w:w="0"/>
        <w:tblLook w:firstColumn="1" w:firstRow="1" w:lastColumn="0" w:lastRow="0" w:noHBand="0" w:noVBand="1" w:val="04A0"/>
      </w:tblPr>
      <w:tblGrid>
        <w:gridCol w:w="4320"/>
        <w:gridCol w:w="4320"/>
      </w:tblGrid>
      <w:tr>
        <w:tc>
          <w:tcPr>
            <w:tcW w:type="dxa" w:w="4320"/>
            <w:shd w:fill="E8EEF4"/>
          </w:tcPr>
          <w:p>
            <w:r>
              <w:t>Document Version:</w:t>
            </w:r>
          </w:p>
        </w:tc>
        <w:tc>
          <w:tcPr>
            <w:tcW w:type="dxa" w:w="4320"/>
            <w:shd w:fill="E8EEF4"/>
          </w:tcPr>
          <w:p>
            <w:r>
              <w:t>1.0</w:t>
            </w:r>
          </w:p>
        </w:tc>
      </w:tr>
      <w:tr>
        <w:tc>
          <w:tcPr>
            <w:tcW w:type="dxa" w:w="4320"/>
          </w:tcPr>
          <w:p>
            <w:r>
              <w:t>Effective Date:</w:t>
            </w:r>
          </w:p>
        </w:tc>
        <w:tc>
          <w:tcPr>
            <w:tcW w:type="dxa" w:w="4320"/>
          </w:tcPr>
          <w:p>
            <w:r>
              <w:t>[DATE]</w:t>
            </w:r>
          </w:p>
        </w:tc>
      </w:tr>
      <w:tr>
        <w:tc>
          <w:tcPr>
            <w:tcW w:type="dxa" w:w="4320"/>
            <w:shd w:fill="E8EEF4"/>
          </w:tcPr>
          <w:p>
            <w:r>
              <w:t>Tax Year:</w:t>
            </w:r>
          </w:p>
        </w:tc>
        <w:tc>
          <w:tcPr>
            <w:tcW w:type="dxa" w:w="4320"/>
            <w:shd w:fill="E8EEF4"/>
          </w:tcPr>
          <w:p>
            <w:r>
              <w:t>[YYYY]</w:t>
            </w:r>
          </w:p>
        </w:tc>
      </w:tr>
      <w:tr>
        <w:tc>
          <w:tcPr>
            <w:tcW w:type="dxa" w:w="4320"/>
          </w:tcPr>
          <w:p>
            <w:r>
              <w:t>Entity:</w:t>
            </w:r>
          </w:p>
        </w:tc>
        <w:tc>
          <w:tcPr>
            <w:tcW w:type="dxa" w:w="4320"/>
          </w:tcPr>
          <w:p>
            <w:r>
              <w:t>NoDrftSystems, LLC (Delaware)</w:t>
            </w:r>
          </w:p>
        </w:tc>
      </w:tr>
      <w:tr>
        <w:tc>
          <w:tcPr>
            <w:tcW w:type="dxa" w:w="4320"/>
          </w:tcPr>
          <w:p>
            <w:r>
              <w:t>Disclaimer:</w:t>
            </w:r>
          </w:p>
        </w:tc>
        <w:tc>
          <w:tcPr>
            <w:tcW w:type="dxa" w:w="4320"/>
          </w:tcPr>
          <w:p>
            <w:r>
              <w:t>Consult qualified tax professionals</w:t>
            </w:r>
          </w:p>
        </w:tc>
      </w:tr>
    </w:tbl>
    <w:p/>
    <w:p>
      <w:pPr>
        <w:jc w:val="center"/>
      </w:pPr>
      <w:r>
        <w:rPr>
          <w:i/>
          <w:color w:val="C00000"/>
          <w:sz w:val="20"/>
        </w:rPr>
        <w:t>IMPORTANT DISCLAIMER: This document is for planning purposes only and does not constitute tax advice. NoDrftSystems must engage qualified tax professionals (CPA, tax attorney) to execute these strategies. Tax laws change frequently; all strategies must be verified for current applicability.</w:t>
      </w:r>
    </w:p>
    <w:p/>
    <w:p>
      <w:pPr>
        <w:pStyle w:val="Heading1"/>
      </w:pPr>
      <w:r>
        <w:rPr>
          <w:b/>
          <w:color w:val="1E3A5F"/>
          <w:sz w:val="32"/>
        </w:rPr>
        <w:t>EXECUTIVE SUMMARY</w:t>
      </w:r>
    </w:p>
    <w:p>
      <w:pPr>
        <w:spacing w:after="120"/>
      </w:pPr>
      <w:r>
        <w:rPr>
          <w:b w:val="0"/>
          <w:i w:val="0"/>
          <w:color w:val="2C3E50"/>
          <w:sz w:val="22"/>
        </w:rPr>
        <w:t>This Tax Optimization Execution Plan outlines strategies for NoDrftSystems to legally minimize tax liability while maintaining full compliance with federal, state, and local tax laws. The plan focuses on strategies appropriate for a Delaware LLC with potential foreign operations (UAE).</w:t>
      </w:r>
    </w:p>
    <w:p/>
    <w:p>
      <w:pPr>
        <w:pStyle w:val="Heading1"/>
      </w:pPr>
      <w:r>
        <w:rPr>
          <w:b/>
          <w:color w:val="1E3A5F"/>
          <w:sz w:val="32"/>
        </w:rPr>
        <w:t>1. ENTITY STRUCTURE ANALYSIS</w:t>
      </w:r>
    </w:p>
    <w:p>
      <w:pPr>
        <w:pStyle w:val="Heading2"/>
      </w:pPr>
      <w:r>
        <w:rPr>
          <w:b/>
          <w:color w:val="1E3A5F"/>
          <w:sz w:val="26"/>
        </w:rPr>
        <w:t>1.1 Current Structure</w:t>
      </w:r>
    </w:p>
    <w:p>
      <w:pPr>
        <w:spacing w:after="120"/>
      </w:pPr>
      <w:r>
        <w:rPr>
          <w:b w:val="0"/>
          <w:i w:val="0"/>
          <w:color w:val="2C3E50"/>
          <w:sz w:val="22"/>
        </w:rPr>
        <w:t>NoDrftSystems operates as a Delaware LLC. This structure provides:</w:t>
      </w:r>
    </w:p>
    <w:p>
      <w:pPr>
        <w:pStyle w:val="ListBullet"/>
        <w:ind w:left="720"/>
      </w:pPr>
      <w:r>
        <w:rPr>
          <w:sz w:val="22"/>
        </w:rPr>
        <w:t>Pass-through taxation (income flows to members' personal returns)</w:t>
      </w:r>
    </w:p>
    <w:p>
      <w:pPr>
        <w:pStyle w:val="ListBullet"/>
        <w:ind w:left="720"/>
      </w:pPr>
      <w:r>
        <w:rPr>
          <w:sz w:val="22"/>
        </w:rPr>
        <w:t>Flexibility to elect corporate taxation if beneficial</w:t>
      </w:r>
    </w:p>
    <w:p>
      <w:pPr>
        <w:pStyle w:val="ListBullet"/>
        <w:ind w:left="720"/>
      </w:pPr>
      <w:r>
        <w:rPr>
          <w:sz w:val="22"/>
        </w:rPr>
        <w:t>Strong legal protections and business-friendly courts</w:t>
      </w:r>
    </w:p>
    <w:p>
      <w:pPr>
        <w:pStyle w:val="ListBullet"/>
        <w:ind w:left="720"/>
      </w:pPr>
      <w:r>
        <w:rPr>
          <w:sz w:val="22"/>
        </w:rPr>
        <w:t>No state income tax for Delaware LLCs (operating outside DE)</w:t>
      </w:r>
    </w:p>
    <w:p>
      <w:pPr>
        <w:pStyle w:val="Heading2"/>
      </w:pPr>
      <w:r>
        <w:rPr>
          <w:b/>
          <w:color w:val="1E3A5F"/>
          <w:sz w:val="26"/>
        </w:rPr>
        <w:t>1.2 Potential Optimization: UAE Entity</w:t>
      </w:r>
    </w:p>
    <w:p>
      <w:pPr>
        <w:spacing w:after="120"/>
      </w:pPr>
      <w:r>
        <w:rPr>
          <w:b w:val="0"/>
          <w:i w:val="0"/>
          <w:color w:val="2C3E50"/>
          <w:sz w:val="22"/>
        </w:rPr>
        <w:t>Consider establishing a UAE Free Zone Company for international operations:</w:t>
      </w:r>
    </w:p>
    <w:tbl>
      <w:tblPr>
        <w:tblStyle w:val="TableGrid"/>
        <w:tblW w:type="auto" w:w="0"/>
        <w:tblLook w:firstColumn="1" w:firstRow="1" w:lastColumn="0" w:lastRow="0" w:noHBand="0" w:noVBand="1" w:val="04A0"/>
      </w:tblPr>
      <w:tblGrid>
        <w:gridCol w:w="4320"/>
        <w:gridCol w:w="4320"/>
      </w:tblGrid>
      <w:tr>
        <w:tc>
          <w:tcPr>
            <w:tcW w:type="dxa" w:w="4320"/>
            <w:shd w:fill="E8EEF4"/>
          </w:tcPr>
          <w:p>
            <w:r>
              <w:rPr>
                <w:b/>
              </w:rPr>
              <w:t>Consideration</w:t>
            </w:r>
          </w:p>
        </w:tc>
        <w:tc>
          <w:tcPr>
            <w:tcW w:type="dxa" w:w="4320"/>
            <w:shd w:fill="E8EEF4"/>
          </w:tcPr>
          <w:p>
            <w:r>
              <w:t>Details</w:t>
            </w:r>
          </w:p>
        </w:tc>
      </w:tr>
      <w:tr>
        <w:tc>
          <w:tcPr>
            <w:tcW w:type="dxa" w:w="4320"/>
          </w:tcPr>
          <w:p>
            <w:r>
              <w:rPr>
                <w:b/>
              </w:rPr>
              <w:t>Benefits</w:t>
            </w:r>
          </w:p>
        </w:tc>
        <w:tc>
          <w:tcPr>
            <w:tcW w:type="dxa" w:w="4320"/>
          </w:tcPr>
          <w:p>
            <w:r>
              <w:t>0% corporate tax, 0% personal income tax, 100% foreign ownership</w:t>
            </w:r>
          </w:p>
        </w:tc>
      </w:tr>
      <w:tr>
        <w:tc>
          <w:tcPr>
            <w:tcW w:type="dxa" w:w="4320"/>
          </w:tcPr>
          <w:p>
            <w:r>
              <w:rPr>
                <w:b/>
              </w:rPr>
              <w:t>Requirements</w:t>
            </w:r>
          </w:p>
        </w:tc>
        <w:tc>
          <w:tcPr>
            <w:tcW w:type="dxa" w:w="4320"/>
          </w:tcPr>
          <w:p>
            <w:r>
              <w:t>Physical presence, substance requirements, proper documentation</w:t>
            </w:r>
          </w:p>
        </w:tc>
      </w:tr>
      <w:tr>
        <w:tc>
          <w:tcPr>
            <w:tcW w:type="dxa" w:w="4320"/>
          </w:tcPr>
          <w:p>
            <w:r>
              <w:rPr>
                <w:b/>
              </w:rPr>
              <w:t>Costs</w:t>
            </w:r>
          </w:p>
        </w:tc>
        <w:tc>
          <w:tcPr>
            <w:tcW w:type="dxa" w:w="4320"/>
          </w:tcPr>
          <w:p>
            <w:r>
              <w:t>Setup: $15K-30K; Annual: $10K-20K</w:t>
            </w:r>
          </w:p>
        </w:tc>
      </w:tr>
      <w:tr>
        <w:tc>
          <w:tcPr>
            <w:tcW w:type="dxa" w:w="4320"/>
          </w:tcPr>
          <w:p>
            <w:r>
              <w:rPr>
                <w:b/>
              </w:rPr>
              <w:t>Timeline</w:t>
            </w:r>
          </w:p>
        </w:tc>
        <w:tc>
          <w:tcPr>
            <w:tcW w:type="dxa" w:w="4320"/>
          </w:tcPr>
          <w:p>
            <w:r>
              <w:t>2-3 months to establish</w:t>
            </w:r>
          </w:p>
        </w:tc>
      </w:tr>
    </w:tbl>
    <w:p/>
    <w:p>
      <w:pPr>
        <w:spacing w:after="120"/>
      </w:pPr>
      <w:r>
        <w:rPr>
          <w:b w:val="0"/>
          <w:i/>
          <w:color w:val="2C3E50"/>
          <w:sz w:val="22"/>
        </w:rPr>
        <w:t>Action: Consult international tax attorney to evaluate UAE structure feasibility and compliance requirements.</w:t>
      </w:r>
    </w:p>
    <w:p/>
    <w:p>
      <w:pPr>
        <w:pStyle w:val="Heading1"/>
      </w:pPr>
      <w:r>
        <w:rPr>
          <w:b/>
          <w:color w:val="1E3A5F"/>
          <w:sz w:val="32"/>
        </w:rPr>
        <w:t>2. TAX DEDUCTION STRATEGIES</w:t>
      </w:r>
    </w:p>
    <w:p>
      <w:pPr>
        <w:spacing w:after="120"/>
      </w:pPr>
      <w:r>
        <w:rPr>
          <w:b w:val="0"/>
          <w:i w:val="0"/>
          <w:color w:val="2C3E50"/>
          <w:sz w:val="22"/>
        </w:rPr>
        <w:t>Maximize legitimate business deductions to reduce taxable income:</w:t>
      </w:r>
    </w:p>
    <w:tbl>
      <w:tblPr>
        <w:tblStyle w:val="TableGrid"/>
        <w:tblW w:type="auto" w:w="0"/>
        <w:tblLook w:firstColumn="1" w:firstRow="1" w:lastColumn="0" w:lastRow="0" w:noHBand="0" w:noVBand="1" w:val="04A0"/>
      </w:tblPr>
      <w:tblGrid>
        <w:gridCol w:w="2880"/>
        <w:gridCol w:w="2880"/>
        <w:gridCol w:w="2880"/>
      </w:tblGrid>
      <w:tr>
        <w:tc>
          <w:tcPr>
            <w:tcW w:type="dxa" w:w="2880"/>
            <w:shd w:fill="1E3A5F"/>
          </w:tcPr>
          <w:p>
            <w:r>
              <w:rPr>
                <w:b/>
                <w:color w:val="FFFFFF"/>
              </w:rPr>
              <w:t>Category</w:t>
            </w:r>
          </w:p>
        </w:tc>
        <w:tc>
          <w:tcPr>
            <w:tcW w:type="dxa" w:w="2880"/>
            <w:shd w:fill="1E3A5F"/>
          </w:tcPr>
          <w:p>
            <w:r>
              <w:rPr>
                <w:b/>
                <w:color w:val="FFFFFF"/>
              </w:rPr>
              <w:t>Deductible Items</w:t>
            </w:r>
          </w:p>
        </w:tc>
        <w:tc>
          <w:tcPr>
            <w:tcW w:type="dxa" w:w="2880"/>
            <w:shd w:fill="1E3A5F"/>
          </w:tcPr>
          <w:p>
            <w:r>
              <w:rPr>
                <w:b/>
                <w:color w:val="FFFFFF"/>
              </w:rPr>
              <w:t>Documentation Required</w:t>
            </w:r>
          </w:p>
        </w:tc>
      </w:tr>
      <w:tr>
        <w:tc>
          <w:tcPr>
            <w:tcW w:type="dxa" w:w="2880"/>
          </w:tcPr>
          <w:p>
            <w:r>
              <w:t>Home Office</w:t>
            </w:r>
          </w:p>
        </w:tc>
        <w:tc>
          <w:tcPr>
            <w:tcW w:type="dxa" w:w="2880"/>
          </w:tcPr>
          <w:p>
            <w:r>
              <w:t>Portion of rent/mortgage, utilities, internet</w:t>
            </w:r>
          </w:p>
        </w:tc>
        <w:tc>
          <w:tcPr>
            <w:tcW w:type="dxa" w:w="2880"/>
          </w:tcPr>
          <w:p>
            <w:r>
              <w:t>Square footage calc, receipts</w:t>
            </w:r>
          </w:p>
        </w:tc>
      </w:tr>
      <w:tr>
        <w:tc>
          <w:tcPr>
            <w:tcW w:type="dxa" w:w="2880"/>
          </w:tcPr>
          <w:p>
            <w:r>
              <w:t>Equipment</w:t>
            </w:r>
          </w:p>
        </w:tc>
        <w:tc>
          <w:tcPr>
            <w:tcW w:type="dxa" w:w="2880"/>
          </w:tcPr>
          <w:p>
            <w:r>
              <w:t>Computers, software, office furniture</w:t>
            </w:r>
          </w:p>
        </w:tc>
        <w:tc>
          <w:tcPr>
            <w:tcW w:type="dxa" w:w="2880"/>
          </w:tcPr>
          <w:p>
            <w:r>
              <w:t>Purchase receipts, depreciation schedule</w:t>
            </w:r>
          </w:p>
        </w:tc>
      </w:tr>
      <w:tr>
        <w:tc>
          <w:tcPr>
            <w:tcW w:type="dxa" w:w="2880"/>
          </w:tcPr>
          <w:p>
            <w:r>
              <w:t>Software/Tools</w:t>
            </w:r>
          </w:p>
        </w:tc>
        <w:tc>
          <w:tcPr>
            <w:tcW w:type="dxa" w:w="2880"/>
          </w:tcPr>
          <w:p>
            <w:r>
              <w:t>AI tools, SaaS subscriptions, licenses</w:t>
            </w:r>
          </w:p>
        </w:tc>
        <w:tc>
          <w:tcPr>
            <w:tcW w:type="dxa" w:w="2880"/>
          </w:tcPr>
          <w:p>
            <w:r>
              <w:t>Monthly/annual subscription receipts</w:t>
            </w:r>
          </w:p>
        </w:tc>
      </w:tr>
      <w:tr>
        <w:tc>
          <w:tcPr>
            <w:tcW w:type="dxa" w:w="2880"/>
          </w:tcPr>
          <w:p>
            <w:r>
              <w:t>Professional Development</w:t>
            </w:r>
          </w:p>
        </w:tc>
        <w:tc>
          <w:tcPr>
            <w:tcW w:type="dxa" w:w="2880"/>
          </w:tcPr>
          <w:p>
            <w:r>
              <w:t>Courses, conferences, certifications</w:t>
            </w:r>
          </w:p>
        </w:tc>
        <w:tc>
          <w:tcPr>
            <w:tcW w:type="dxa" w:w="2880"/>
          </w:tcPr>
          <w:p>
            <w:r>
              <w:t>Registration receipts, certificates</w:t>
            </w:r>
          </w:p>
        </w:tc>
      </w:tr>
      <w:tr>
        <w:tc>
          <w:tcPr>
            <w:tcW w:type="dxa" w:w="2880"/>
          </w:tcPr>
          <w:p>
            <w:r>
              <w:t>Travel</w:t>
            </w:r>
          </w:p>
        </w:tc>
        <w:tc>
          <w:tcPr>
            <w:tcW w:type="dxa" w:w="2880"/>
          </w:tcPr>
          <w:p>
            <w:r>
              <w:t>Business travel, meals (50%), lodging</w:t>
            </w:r>
          </w:p>
        </w:tc>
        <w:tc>
          <w:tcPr>
            <w:tcW w:type="dxa" w:w="2880"/>
          </w:tcPr>
          <w:p>
            <w:r>
              <w:t>Receipts, business purpose documentation</w:t>
            </w:r>
          </w:p>
        </w:tc>
      </w:tr>
      <w:tr>
        <w:tc>
          <w:tcPr>
            <w:tcW w:type="dxa" w:w="2880"/>
          </w:tcPr>
          <w:p>
            <w:r>
              <w:t>Professional Services</w:t>
            </w:r>
          </w:p>
        </w:tc>
        <w:tc>
          <w:tcPr>
            <w:tcW w:type="dxa" w:w="2880"/>
          </w:tcPr>
          <w:p>
            <w:r>
              <w:t>Legal, accounting, consulting fees</w:t>
            </w:r>
          </w:p>
        </w:tc>
        <w:tc>
          <w:tcPr>
            <w:tcW w:type="dxa" w:w="2880"/>
          </w:tcPr>
          <w:p>
            <w:r>
              <w:t>Invoices, engagement letters</w:t>
            </w:r>
          </w:p>
        </w:tc>
      </w:tr>
      <w:tr>
        <w:tc>
          <w:tcPr>
            <w:tcW w:type="dxa" w:w="2880"/>
          </w:tcPr>
          <w:p>
            <w:r>
              <w:t>Marketing</w:t>
            </w:r>
          </w:p>
        </w:tc>
        <w:tc>
          <w:tcPr>
            <w:tcW w:type="dxa" w:w="2880"/>
          </w:tcPr>
          <w:p>
            <w:r>
              <w:t>Website, advertising, promotional materials</w:t>
            </w:r>
          </w:p>
        </w:tc>
        <w:tc>
          <w:tcPr>
            <w:tcW w:type="dxa" w:w="2880"/>
          </w:tcPr>
          <w:p>
            <w:r>
              <w:t>Invoices, campaign records</w:t>
            </w:r>
          </w:p>
        </w:tc>
      </w:tr>
      <w:tr>
        <w:tc>
          <w:tcPr>
            <w:tcW w:type="dxa" w:w="2880"/>
          </w:tcPr>
          <w:p>
            <w:r>
              <w:t>Insurance</w:t>
            </w:r>
          </w:p>
        </w:tc>
        <w:tc>
          <w:tcPr>
            <w:tcW w:type="dxa" w:w="2880"/>
          </w:tcPr>
          <w:p>
            <w:r>
              <w:t>Business liability, professional indemnity</w:t>
            </w:r>
          </w:p>
        </w:tc>
        <w:tc>
          <w:tcPr>
            <w:tcW w:type="dxa" w:w="2880"/>
          </w:tcPr>
          <w:p>
            <w:r>
              <w:t>Policy documents, premium receipts</w:t>
            </w:r>
          </w:p>
        </w:tc>
      </w:tr>
    </w:tbl>
    <w:p/>
    <w:p>
      <w:pPr>
        <w:pStyle w:val="Heading1"/>
      </w:pPr>
      <w:r>
        <w:rPr>
          <w:b/>
          <w:color w:val="1E3A5F"/>
          <w:sz w:val="32"/>
        </w:rPr>
        <w:t>3. RETIREMENT CONTRIBUTION STRATEGIES</w:t>
      </w:r>
    </w:p>
    <w:p>
      <w:pPr>
        <w:spacing w:after="120"/>
      </w:pPr>
      <w:r>
        <w:rPr>
          <w:b w:val="0"/>
          <w:i w:val="0"/>
          <w:color w:val="2C3E50"/>
          <w:sz w:val="22"/>
        </w:rPr>
        <w:t>Retirement plans offer significant tax advantages: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8EEF4"/>
          </w:tcPr>
          <w:p>
            <w:r>
              <w:rPr>
                <w:b/>
              </w:rPr>
              <w:t>Plan Type</w:t>
            </w:r>
          </w:p>
        </w:tc>
        <w:tc>
          <w:tcPr>
            <w:tcW w:type="dxa" w:w="2160"/>
            <w:shd w:fill="E8EEF4"/>
          </w:tcPr>
          <w:p>
            <w:r>
              <w:rPr>
                <w:b/>
              </w:rPr>
              <w:t>2024 Limit</w:t>
            </w:r>
          </w:p>
        </w:tc>
        <w:tc>
          <w:tcPr>
            <w:tcW w:type="dxa" w:w="2160"/>
            <w:shd w:fill="E8EEF4"/>
          </w:tcPr>
          <w:p>
            <w:r>
              <w:rPr>
                <w:b/>
              </w:rPr>
              <w:t>Tax Benefit</w:t>
            </w:r>
          </w:p>
        </w:tc>
        <w:tc>
          <w:tcPr>
            <w:tcW w:type="dxa" w:w="2160"/>
            <w:shd w:fill="E8EEF4"/>
          </w:tcPr>
          <w:p>
            <w:r>
              <w:rPr>
                <w:b/>
              </w:rPr>
              <w:t>Best For</w:t>
            </w:r>
          </w:p>
        </w:tc>
      </w:tr>
      <w:tr>
        <w:tc>
          <w:tcPr>
            <w:tcW w:type="dxa" w:w="2160"/>
          </w:tcPr>
          <w:p>
            <w:r>
              <w:t>Solo 401(k)</w:t>
            </w:r>
          </w:p>
        </w:tc>
        <w:tc>
          <w:tcPr>
            <w:tcW w:type="dxa" w:w="2160"/>
          </w:tcPr>
          <w:p>
            <w:r>
              <w:t>$23,000 + 25% comp</w:t>
            </w:r>
          </w:p>
        </w:tc>
        <w:tc>
          <w:tcPr>
            <w:tcW w:type="dxa" w:w="2160"/>
          </w:tcPr>
          <w:p>
            <w:r>
              <w:t>Deduction up to $66K</w:t>
            </w:r>
          </w:p>
        </w:tc>
        <w:tc>
          <w:tcPr>
            <w:tcW w:type="dxa" w:w="2160"/>
          </w:tcPr>
          <w:p>
            <w:r>
              <w:t>High earners, no employees</w:t>
            </w:r>
          </w:p>
        </w:tc>
      </w:tr>
      <w:tr>
        <w:tc>
          <w:tcPr>
            <w:tcW w:type="dxa" w:w="2160"/>
          </w:tcPr>
          <w:p>
            <w:r>
              <w:t>SEP-IRA</w:t>
            </w:r>
          </w:p>
        </w:tc>
        <w:tc>
          <w:tcPr>
            <w:tcW w:type="dxa" w:w="2160"/>
          </w:tcPr>
          <w:p>
            <w:r>
              <w:t>25% of comp, $69K max</w:t>
            </w:r>
          </w:p>
        </w:tc>
        <w:tc>
          <w:tcPr>
            <w:tcW w:type="dxa" w:w="2160"/>
          </w:tcPr>
          <w:p>
            <w:r>
              <w:t>Simple, flexible</w:t>
            </w:r>
          </w:p>
        </w:tc>
        <w:tc>
          <w:tcPr>
            <w:tcW w:type="dxa" w:w="2160"/>
          </w:tcPr>
          <w:p>
            <w:r>
              <w:t>Variable income</w:t>
            </w:r>
          </w:p>
        </w:tc>
      </w:tr>
      <w:tr>
        <w:tc>
          <w:tcPr>
            <w:tcW w:type="dxa" w:w="2160"/>
          </w:tcPr>
          <w:p>
            <w:r>
              <w:t>SIMPLE IRA</w:t>
            </w:r>
          </w:p>
        </w:tc>
        <w:tc>
          <w:tcPr>
            <w:tcW w:type="dxa" w:w="2160"/>
          </w:tcPr>
          <w:p>
            <w:r>
              <w:t>$16,000 + 3% match</w:t>
            </w:r>
          </w:p>
        </w:tc>
        <w:tc>
          <w:tcPr>
            <w:tcW w:type="dxa" w:w="2160"/>
          </w:tcPr>
          <w:p>
            <w:r>
              <w:t>Easy admin, lower limits</w:t>
            </w:r>
          </w:p>
        </w:tc>
        <w:tc>
          <w:tcPr>
            <w:tcW w:type="dxa" w:w="2160"/>
          </w:tcPr>
          <w:p>
            <w:r>
              <w:t>Future employees planned</w:t>
            </w:r>
          </w:p>
        </w:tc>
      </w:tr>
      <w:tr>
        <w:tc>
          <w:tcPr>
            <w:tcW w:type="dxa" w:w="2160"/>
          </w:tcPr>
          <w:p>
            <w:r>
              <w:t>Traditional IRA</w:t>
            </w:r>
          </w:p>
        </w:tc>
        <w:tc>
          <w:tcPr>
            <w:tcW w:type="dxa" w:w="2160"/>
          </w:tcPr>
          <w:p>
            <w:r>
              <w:t>$7,000 ($8K 50+)</w:t>
            </w:r>
          </w:p>
        </w:tc>
        <w:tc>
          <w:tcPr>
            <w:tcW w:type="dxa" w:w="2160"/>
          </w:tcPr>
          <w:p>
            <w:r>
              <w:t>Individual deduction</w:t>
            </w:r>
          </w:p>
        </w:tc>
        <w:tc>
          <w:tcPr>
            <w:tcW w:type="dxa" w:w="2160"/>
          </w:tcPr>
          <w:p>
            <w:r>
              <w:t>Additional savings</w:t>
            </w:r>
          </w:p>
        </w:tc>
      </w:tr>
    </w:tbl>
    <w:p/>
    <w:p>
      <w:pPr>
        <w:spacing w:after="120"/>
      </w:pPr>
      <w:r>
        <w:rPr>
          <w:b w:val="0"/>
          <w:i/>
          <w:color w:val="2C3E50"/>
          <w:sz w:val="22"/>
        </w:rPr>
        <w:t>Recommended: Solo 401(k) for maximum contribution flexibility. Establish by December 31 to contribute for current tax year.</w:t>
      </w:r>
    </w:p>
    <w:p/>
    <w:p>
      <w:pPr>
        <w:pStyle w:val="Heading1"/>
      </w:pPr>
      <w:r>
        <w:rPr>
          <w:b/>
          <w:color w:val="1E3A5F"/>
          <w:sz w:val="32"/>
        </w:rPr>
        <w:t>4. QUARTERLY ESTIMATED TAX PAYMENTS</w:t>
      </w:r>
    </w:p>
    <w:p>
      <w:pPr>
        <w:spacing w:after="120"/>
      </w:pPr>
      <w:r>
        <w:rPr>
          <w:b w:val="0"/>
          <w:i w:val="0"/>
          <w:color w:val="2C3E50"/>
          <w:sz w:val="22"/>
        </w:rPr>
        <w:t>As a pass-through entity, estimated tax payments are required:</w:t>
      </w:r>
    </w:p>
    <w:tbl>
      <w:tblPr>
        <w:tblStyle w:val="TableGrid"/>
        <w:tblW w:type="auto" w:w="0"/>
        <w:tblLook w:firstColumn="1" w:firstRow="1" w:lastColumn="0" w:lastRow="0" w:noHBand="0" w:noVBand="1" w:val="04A0"/>
      </w:tblPr>
      <w:tblGrid>
        <w:gridCol w:w="2880"/>
        <w:gridCol w:w="2880"/>
        <w:gridCol w:w="2880"/>
      </w:tblGrid>
      <w:tr>
        <w:tc>
          <w:tcPr>
            <w:tcW w:type="dxa" w:w="2880"/>
            <w:shd w:fill="E8EEF4"/>
          </w:tcPr>
          <w:p>
            <w:r>
              <w:rPr>
                <w:b/>
              </w:rPr>
              <w:t>Quarter</w:t>
            </w:r>
          </w:p>
        </w:tc>
        <w:tc>
          <w:tcPr>
            <w:tcW w:type="dxa" w:w="2880"/>
            <w:shd w:fill="E8EEF4"/>
          </w:tcPr>
          <w:p>
            <w:r>
              <w:rPr>
                <w:b/>
              </w:rPr>
              <w:t>Due Date</w:t>
            </w:r>
          </w:p>
        </w:tc>
        <w:tc>
          <w:tcPr>
            <w:tcW w:type="dxa" w:w="2880"/>
            <w:shd w:fill="E8EEF4"/>
          </w:tcPr>
          <w:p>
            <w:r>
              <w:rPr>
                <w:b/>
              </w:rPr>
              <w:t>Estimated Payment</w:t>
            </w:r>
          </w:p>
        </w:tc>
      </w:tr>
      <w:tr>
        <w:tc>
          <w:tcPr>
            <w:tcW w:type="dxa" w:w="2880"/>
          </w:tcPr>
          <w:p>
            <w:r>
              <w:t>Q1</w:t>
            </w:r>
          </w:p>
        </w:tc>
        <w:tc>
          <w:tcPr>
            <w:tcW w:type="dxa" w:w="2880"/>
          </w:tcPr>
          <w:p>
            <w:r>
              <w:t>April 15</w:t>
            </w:r>
          </w:p>
        </w:tc>
        <w:tc>
          <w:tcPr>
            <w:tcW w:type="dxa" w:w="2880"/>
          </w:tcPr>
          <w:p>
            <w:r>
              <w:t>$[AMOUNT]</w:t>
            </w:r>
          </w:p>
        </w:tc>
      </w:tr>
      <w:tr>
        <w:tc>
          <w:tcPr>
            <w:tcW w:type="dxa" w:w="2880"/>
          </w:tcPr>
          <w:p>
            <w:r>
              <w:t>Q2</w:t>
            </w:r>
          </w:p>
        </w:tc>
        <w:tc>
          <w:tcPr>
            <w:tcW w:type="dxa" w:w="2880"/>
          </w:tcPr>
          <w:p>
            <w:r>
              <w:t>June 15</w:t>
            </w:r>
          </w:p>
        </w:tc>
        <w:tc>
          <w:tcPr>
            <w:tcW w:type="dxa" w:w="2880"/>
          </w:tcPr>
          <w:p>
            <w:r>
              <w:t>$[AMOUNT]</w:t>
            </w:r>
          </w:p>
        </w:tc>
      </w:tr>
      <w:tr>
        <w:tc>
          <w:tcPr>
            <w:tcW w:type="dxa" w:w="2880"/>
          </w:tcPr>
          <w:p>
            <w:r>
              <w:t>Q3</w:t>
            </w:r>
          </w:p>
        </w:tc>
        <w:tc>
          <w:tcPr>
            <w:tcW w:type="dxa" w:w="2880"/>
          </w:tcPr>
          <w:p>
            <w:r>
              <w:t>September 15</w:t>
            </w:r>
          </w:p>
        </w:tc>
        <w:tc>
          <w:tcPr>
            <w:tcW w:type="dxa" w:w="2880"/>
          </w:tcPr>
          <w:p>
            <w:r>
              <w:t>$[AMOUNT]</w:t>
            </w:r>
          </w:p>
        </w:tc>
      </w:tr>
      <w:tr>
        <w:tc>
          <w:tcPr>
            <w:tcW w:type="dxa" w:w="2880"/>
          </w:tcPr>
          <w:p>
            <w:r>
              <w:t>Q4</w:t>
            </w:r>
          </w:p>
        </w:tc>
        <w:tc>
          <w:tcPr>
            <w:tcW w:type="dxa" w:w="2880"/>
          </w:tcPr>
          <w:p>
            <w:r>
              <w:t>January 15 (following year)</w:t>
            </w:r>
          </w:p>
        </w:tc>
        <w:tc>
          <w:tcPr>
            <w:tcW w:type="dxa" w:w="2880"/>
          </w:tcPr>
          <w:p>
            <w:r>
              <w:t>$[AMOUNT]</w:t>
            </w:r>
          </w:p>
        </w:tc>
      </w:tr>
    </w:tbl>
    <w:p/>
    <w:p>
      <w:pPr>
        <w:spacing w:after="120"/>
      </w:pPr>
      <w:r>
        <w:rPr>
          <w:b w:val="0"/>
          <w:i/>
          <w:color w:val="2C3E50"/>
          <w:sz w:val="22"/>
        </w:rPr>
        <w:t>Safe Harbor Rule: Pay 100% of prior year tax liability (110% if AGI &gt; $150K) to avoid penalties.</w:t>
      </w:r>
    </w:p>
    <w:p/>
    <w:p>
      <w:pPr>
        <w:pStyle w:val="Heading1"/>
      </w:pPr>
      <w:r>
        <w:rPr>
          <w:b/>
          <w:color w:val="1E3A5F"/>
          <w:sz w:val="32"/>
        </w:rPr>
        <w:t>5. STATE TAX CONSIDERATIONS</w:t>
      </w:r>
    </w:p>
    <w:p>
      <w:pPr>
        <w:spacing w:after="120"/>
      </w:pPr>
      <w:r>
        <w:rPr>
          <w:b w:val="0"/>
          <w:i w:val="0"/>
          <w:color w:val="2C3E50"/>
          <w:sz w:val="22"/>
        </w:rPr>
        <w:t>State tax obligations depend on:</w:t>
      </w:r>
    </w:p>
    <w:p>
      <w:pPr>
        <w:pStyle w:val="ListBullet"/>
        <w:ind w:left="720"/>
      </w:pPr>
      <w:r>
        <w:rPr>
          <w:sz w:val="22"/>
        </w:rPr>
        <w:t>Physical presence (nexus) in each state</w:t>
      </w:r>
    </w:p>
    <w:p>
      <w:pPr>
        <w:pStyle w:val="ListBullet"/>
        <w:ind w:left="720"/>
      </w:pPr>
      <w:r>
        <w:rPr>
          <w:sz w:val="22"/>
        </w:rPr>
        <w:t>Client locations and service delivery method</w:t>
      </w:r>
    </w:p>
    <w:p>
      <w:pPr>
        <w:pStyle w:val="ListBullet"/>
        <w:ind w:left="720"/>
      </w:pPr>
      <w:r>
        <w:rPr>
          <w:sz w:val="22"/>
        </w:rPr>
        <w:t>Employee/contractor locations</w:t>
      </w:r>
    </w:p>
    <w:p>
      <w:pPr>
        <w:pStyle w:val="ListBullet"/>
        <w:ind w:left="720"/>
      </w:pPr>
      <w:r>
        <w:rPr>
          <w:sz w:val="22"/>
        </w:rPr>
        <w:t>Sales tax obligations (if selling digital products)</w:t>
      </w:r>
    </w:p>
    <w:p>
      <w:pPr>
        <w:spacing w:after="120"/>
      </w:pPr>
      <w:r>
        <w:rPr>
          <w:b w:val="0"/>
          <w:i/>
          <w:color w:val="2C3E50"/>
          <w:sz w:val="22"/>
        </w:rPr>
        <w:t>Action: Engage CPA to perform nexus analysis and determine state filing requirements.</w:t>
      </w:r>
    </w:p>
    <w:p/>
    <w:p>
      <w:pPr>
        <w:pStyle w:val="Heading1"/>
      </w:pPr>
      <w:r>
        <w:rPr>
          <w:b/>
          <w:color w:val="1E3A5F"/>
          <w:sz w:val="32"/>
        </w:rPr>
        <w:t>6. RECORD KEEPING REQUIREMENTS</w:t>
      </w:r>
    </w:p>
    <w:p>
      <w:pPr>
        <w:spacing w:after="120"/>
      </w:pPr>
      <w:r>
        <w:rPr>
          <w:b w:val="0"/>
          <w:i w:val="0"/>
          <w:color w:val="2C3E50"/>
          <w:sz w:val="22"/>
        </w:rPr>
        <w:t>Maintain records for minimum 7 years:</w:t>
      </w:r>
    </w:p>
    <w:tbl>
      <w:tblPr>
        <w:tblStyle w:val="TableGrid"/>
        <w:tblW w:type="auto" w:w="0"/>
        <w:tblLook w:firstColumn="1" w:firstRow="1" w:lastColumn="0" w:lastRow="0" w:noHBand="0" w:noVBand="1" w:val="04A0"/>
      </w:tblPr>
      <w:tblGrid>
        <w:gridCol w:w="4320"/>
        <w:gridCol w:w="4320"/>
      </w:tblGrid>
      <w:tr>
        <w:tc>
          <w:tcPr>
            <w:tcW w:type="dxa" w:w="4320"/>
            <w:shd w:fill="F5F5F5"/>
          </w:tcPr>
          <w:p>
            <w:r>
              <w:rPr>
                <w:b/>
              </w:rPr>
              <w:t>Record Type</w:t>
            </w:r>
          </w:p>
        </w:tc>
        <w:tc>
          <w:tcPr>
            <w:tcW w:type="dxa" w:w="4320"/>
            <w:shd w:fill="F5F5F5"/>
          </w:tcPr>
          <w:p>
            <w:r>
              <w:rPr>
                <w:b/>
              </w:rPr>
              <w:t>Retention Period</w:t>
            </w:r>
          </w:p>
        </w:tc>
      </w:tr>
      <w:tr>
        <w:tc>
          <w:tcPr>
            <w:tcW w:type="dxa" w:w="4320"/>
          </w:tcPr>
          <w:p>
            <w:r>
              <w:t>Tax returns</w:t>
            </w:r>
          </w:p>
        </w:tc>
        <w:tc>
          <w:tcPr>
            <w:tcW w:type="dxa" w:w="4320"/>
          </w:tcPr>
          <w:p>
            <w:r>
              <w:t>Permanently</w:t>
            </w:r>
          </w:p>
        </w:tc>
      </w:tr>
      <w:tr>
        <w:tc>
          <w:tcPr>
            <w:tcW w:type="dxa" w:w="4320"/>
          </w:tcPr>
          <w:p>
            <w:r>
              <w:t>Supporting documents</w:t>
            </w:r>
          </w:p>
        </w:tc>
        <w:tc>
          <w:tcPr>
            <w:tcW w:type="dxa" w:w="4320"/>
          </w:tcPr>
          <w:p>
            <w:r>
              <w:t>7 years</w:t>
            </w:r>
          </w:p>
        </w:tc>
      </w:tr>
      <w:tr>
        <w:tc>
          <w:tcPr>
            <w:tcW w:type="dxa" w:w="4320"/>
          </w:tcPr>
          <w:p>
            <w:r>
              <w:t>Bank statements</w:t>
            </w:r>
          </w:p>
        </w:tc>
        <w:tc>
          <w:tcPr>
            <w:tcW w:type="dxa" w:w="4320"/>
          </w:tcPr>
          <w:p>
            <w:r>
              <w:t>7 years</w:t>
            </w:r>
          </w:p>
        </w:tc>
      </w:tr>
      <w:tr>
        <w:tc>
          <w:tcPr>
            <w:tcW w:type="dxa" w:w="4320"/>
          </w:tcPr>
          <w:p>
            <w:r>
              <w:t>Invoices &amp; receipts</w:t>
            </w:r>
          </w:p>
        </w:tc>
        <w:tc>
          <w:tcPr>
            <w:tcW w:type="dxa" w:w="4320"/>
          </w:tcPr>
          <w:p>
            <w:r>
              <w:t>7 years</w:t>
            </w:r>
          </w:p>
        </w:tc>
      </w:tr>
      <w:tr>
        <w:tc>
          <w:tcPr>
            <w:tcW w:type="dxa" w:w="4320"/>
          </w:tcPr>
          <w:p>
            <w:r>
              <w:t>Contracts &amp; agreements</w:t>
            </w:r>
          </w:p>
        </w:tc>
        <w:tc>
          <w:tcPr>
            <w:tcW w:type="dxa" w:w="4320"/>
          </w:tcPr>
          <w:p>
            <w:r>
              <w:t>7 years after termination</w:t>
            </w:r>
          </w:p>
        </w:tc>
      </w:tr>
      <w:tr>
        <w:tc>
          <w:tcPr>
            <w:tcW w:type="dxa" w:w="4320"/>
          </w:tcPr>
          <w:p>
            <w:r>
              <w:t>Payroll records</w:t>
            </w:r>
          </w:p>
        </w:tc>
        <w:tc>
          <w:tcPr>
            <w:tcW w:type="dxa" w:w="4320"/>
          </w:tcPr>
          <w:p>
            <w:r>
              <w:t>7 years</w:t>
            </w:r>
          </w:p>
        </w:tc>
      </w:tr>
    </w:tbl>
    <w:p/>
    <w:p>
      <w:pPr>
        <w:pStyle w:val="Heading1"/>
      </w:pPr>
      <w:r>
        <w:rPr>
          <w:b/>
          <w:color w:val="1E3A5F"/>
          <w:sz w:val="32"/>
        </w:rPr>
        <w:t>7. IMMEDIATE ACTION ITEMS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E3A5F"/>
          </w:tcPr>
          <w:p>
            <w:r>
              <w:rPr>
                <w:b/>
                <w:color w:val="FFFFFF"/>
              </w:rPr>
              <w:t>Action</w:t>
            </w:r>
          </w:p>
        </w:tc>
        <w:tc>
          <w:tcPr>
            <w:tcW w:type="dxa" w:w="2160"/>
            <w:shd w:fill="1E3A5F"/>
          </w:tcPr>
          <w:p>
            <w:r>
              <w:rPr>
                <w:b/>
                <w:color w:val="FFFFFF"/>
              </w:rPr>
              <w:t>Owner</w:t>
            </w:r>
          </w:p>
        </w:tc>
        <w:tc>
          <w:tcPr>
            <w:tcW w:type="dxa" w:w="2160"/>
            <w:shd w:fill="1E3A5F"/>
          </w:tcPr>
          <w:p>
            <w:r>
              <w:rPr>
                <w:b/>
                <w:color w:val="FFFFFF"/>
              </w:rPr>
              <w:t>Due Date</w:t>
            </w:r>
          </w:p>
        </w:tc>
        <w:tc>
          <w:tcPr>
            <w:tcW w:type="dxa" w:w="2160"/>
            <w:shd w:fill="1E3A5F"/>
          </w:tcPr>
          <w:p>
            <w:r>
              <w:rPr>
                <w:b/>
                <w:color w:val="FFFFFF"/>
              </w:rPr>
              <w:t>Status</w:t>
            </w:r>
          </w:p>
        </w:tc>
      </w:tr>
      <w:tr>
        <w:tc>
          <w:tcPr>
            <w:tcW w:type="dxa" w:w="2160"/>
          </w:tcPr>
          <w:p>
            <w:r>
              <w:t>Engage CPA for tax planning</w:t>
            </w:r>
          </w:p>
        </w:tc>
        <w:tc>
          <w:tcPr>
            <w:tcW w:type="dxa" w:w="2160"/>
          </w:tcPr>
          <w:p>
            <w:r>
              <w:t>Founder</w:t>
            </w:r>
          </w:p>
        </w:tc>
        <w:tc>
          <w:tcPr>
            <w:tcW w:type="dxa" w:w="2160"/>
          </w:tcPr>
          <w:p>
            <w:r>
              <w:t>[DATE]</w:t>
            </w:r>
          </w:p>
        </w:tc>
        <w:tc>
          <w:tcPr>
            <w:tcW w:type="dxa" w:w="2160"/>
          </w:tcPr>
          <w:p>
            <w:pPr>
              <w:jc w:val="center"/>
            </w:pPr>
            <w:r>
              <w:t>☐</w:t>
            </w:r>
          </w:p>
        </w:tc>
      </w:tr>
      <w:tr>
        <w:tc>
          <w:tcPr>
            <w:tcW w:type="dxa" w:w="2160"/>
          </w:tcPr>
          <w:p>
            <w:r>
              <w:t>Set up accounting system (QuickBooks/Xero)</w:t>
            </w:r>
          </w:p>
        </w:tc>
        <w:tc>
          <w:tcPr>
            <w:tcW w:type="dxa" w:w="2160"/>
          </w:tcPr>
          <w:p>
            <w:r>
              <w:t>Founder</w:t>
            </w:r>
          </w:p>
        </w:tc>
        <w:tc>
          <w:tcPr>
            <w:tcW w:type="dxa" w:w="2160"/>
          </w:tcPr>
          <w:p>
            <w:r>
              <w:t>[DATE]</w:t>
            </w:r>
          </w:p>
        </w:tc>
        <w:tc>
          <w:tcPr>
            <w:tcW w:type="dxa" w:w="2160"/>
          </w:tcPr>
          <w:p>
            <w:pPr>
              <w:jc w:val="center"/>
            </w:pPr>
            <w:r>
              <w:t>☐</w:t>
            </w:r>
          </w:p>
        </w:tc>
      </w:tr>
      <w:tr>
        <w:tc>
          <w:tcPr>
            <w:tcW w:type="dxa" w:w="2160"/>
          </w:tcPr>
          <w:p>
            <w:r>
              <w:t>Establish Solo 401(k)</w:t>
            </w:r>
          </w:p>
        </w:tc>
        <w:tc>
          <w:tcPr>
            <w:tcW w:type="dxa" w:w="2160"/>
          </w:tcPr>
          <w:p>
            <w:r>
              <w:t>Founder</w:t>
            </w:r>
          </w:p>
        </w:tc>
        <w:tc>
          <w:tcPr>
            <w:tcW w:type="dxa" w:w="2160"/>
          </w:tcPr>
          <w:p>
            <w:r>
              <w:t>[DATE]</w:t>
            </w:r>
          </w:p>
        </w:tc>
        <w:tc>
          <w:tcPr>
            <w:tcW w:type="dxa" w:w="2160"/>
          </w:tcPr>
          <w:p>
            <w:pPr>
              <w:jc w:val="center"/>
            </w:pPr>
            <w:r>
              <w:t>☐</w:t>
            </w:r>
          </w:p>
        </w:tc>
      </w:tr>
      <w:tr>
        <w:tc>
          <w:tcPr>
            <w:tcW w:type="dxa" w:w="2160"/>
          </w:tcPr>
          <w:p>
            <w:r>
              <w:t>Implement expense tracking system</w:t>
            </w:r>
          </w:p>
        </w:tc>
        <w:tc>
          <w:tcPr>
            <w:tcW w:type="dxa" w:w="2160"/>
          </w:tcPr>
          <w:p>
            <w:r>
              <w:t>Founder</w:t>
            </w:r>
          </w:p>
        </w:tc>
        <w:tc>
          <w:tcPr>
            <w:tcW w:type="dxa" w:w="2160"/>
          </w:tcPr>
          <w:p>
            <w:r>
              <w:t>[DATE]</w:t>
            </w:r>
          </w:p>
        </w:tc>
        <w:tc>
          <w:tcPr>
            <w:tcW w:type="dxa" w:w="2160"/>
          </w:tcPr>
          <w:p>
            <w:pPr>
              <w:jc w:val="center"/>
            </w:pPr>
            <w:r>
              <w:t>☐</w:t>
            </w:r>
          </w:p>
        </w:tc>
      </w:tr>
      <w:tr>
        <w:tc>
          <w:tcPr>
            <w:tcW w:type="dxa" w:w="2160"/>
          </w:tcPr>
          <w:p>
            <w:r>
              <w:t>Set up quarterly tax payment schedule</w:t>
            </w:r>
          </w:p>
        </w:tc>
        <w:tc>
          <w:tcPr>
            <w:tcW w:type="dxa" w:w="2160"/>
          </w:tcPr>
          <w:p>
            <w:r>
              <w:t>CPA</w:t>
            </w:r>
          </w:p>
        </w:tc>
        <w:tc>
          <w:tcPr>
            <w:tcW w:type="dxa" w:w="2160"/>
          </w:tcPr>
          <w:p>
            <w:r>
              <w:t>[DATE]</w:t>
            </w:r>
          </w:p>
        </w:tc>
        <w:tc>
          <w:tcPr>
            <w:tcW w:type="dxa" w:w="2160"/>
          </w:tcPr>
          <w:p>
            <w:pPr>
              <w:jc w:val="center"/>
            </w:pPr>
            <w:r>
              <w:t>☐</w:t>
            </w:r>
          </w:p>
        </w:tc>
      </w:tr>
      <w:tr>
        <w:tc>
          <w:tcPr>
            <w:tcW w:type="dxa" w:w="2160"/>
          </w:tcPr>
          <w:p>
            <w:r>
              <w:t>Consult international tax attorney (UAE)</w:t>
            </w:r>
          </w:p>
        </w:tc>
        <w:tc>
          <w:tcPr>
            <w:tcW w:type="dxa" w:w="2160"/>
          </w:tcPr>
          <w:p>
            <w:r>
              <w:t>Founder</w:t>
            </w:r>
          </w:p>
        </w:tc>
        <w:tc>
          <w:tcPr>
            <w:tcW w:type="dxa" w:w="2160"/>
          </w:tcPr>
          <w:p>
            <w:r>
              <w:t>[DATE]</w:t>
            </w:r>
          </w:p>
        </w:tc>
        <w:tc>
          <w:tcPr>
            <w:tcW w:type="dxa" w:w="2160"/>
          </w:tcPr>
          <w:p>
            <w:pPr>
              <w:jc w:val="center"/>
            </w:pPr>
            <w:r>
              <w:t>☐</w:t>
            </w:r>
          </w:p>
        </w:tc>
      </w:tr>
      <w:tr>
        <w:tc>
          <w:tcPr>
            <w:tcW w:type="dxa" w:w="2160"/>
          </w:tcPr>
          <w:p>
            <w:r>
              <w:t>Create document retention policy</w:t>
            </w:r>
          </w:p>
        </w:tc>
        <w:tc>
          <w:tcPr>
            <w:tcW w:type="dxa" w:w="2160"/>
          </w:tcPr>
          <w:p>
            <w:r>
              <w:t>Founder</w:t>
            </w:r>
          </w:p>
        </w:tc>
        <w:tc>
          <w:tcPr>
            <w:tcW w:type="dxa" w:w="2160"/>
          </w:tcPr>
          <w:p>
            <w:r>
              <w:t>[DATE]</w:t>
            </w:r>
          </w:p>
        </w:tc>
        <w:tc>
          <w:tcPr>
            <w:tcW w:type="dxa" w:w="2160"/>
          </w:tcPr>
          <w:p>
            <w:pPr>
              <w:jc w:val="center"/>
            </w:pPr>
            <w:r>
              <w:t>☐</w:t>
            </w:r>
          </w:p>
        </w:tc>
      </w:tr>
    </w:tbl>
    <w:p/>
    <w:p>
      <w:pPr>
        <w:pStyle w:val="Heading1"/>
      </w:pPr>
      <w:r>
        <w:rPr>
          <w:b/>
          <w:color w:val="1E3A5F"/>
          <w:sz w:val="32"/>
        </w:rPr>
        <w:t>8. RECOMMENDED PROFESSIONAL RESOURCES</w:t>
      </w:r>
    </w:p>
    <w:p>
      <w:r>
        <w:rPr>
          <w:b/>
        </w:rPr>
        <w:t xml:space="preserve">CPA/Tax Advisor: </w:t>
      </w:r>
      <w:r>
        <w:rPr>
          <w:sz w:val="22"/>
        </w:rPr>
        <w:t>For ongoing tax planning and compliance</w:t>
      </w:r>
    </w:p>
    <w:p>
      <w:r>
        <w:rPr>
          <w:b/>
        </w:rPr>
        <w:t xml:space="preserve">International Tax Attorney: </w:t>
      </w:r>
      <w:r>
        <w:rPr>
          <w:sz w:val="22"/>
        </w:rPr>
        <w:t>For UAE entity evaluation and transfer pricing</w:t>
      </w:r>
    </w:p>
    <w:p>
      <w:r>
        <w:rPr>
          <w:b/>
        </w:rPr>
        <w:t xml:space="preserve">Bookkeeper: </w:t>
      </w:r>
      <w:r>
        <w:rPr>
          <w:sz w:val="22"/>
        </w:rPr>
        <w:t>For monthly reconciliation and financial reporting</w:t>
      </w:r>
    </w:p>
    <w:p>
      <w:r>
        <w:rPr>
          <w:b/>
        </w:rPr>
        <w:t xml:space="preserve">Payroll Service: </w:t>
      </w:r>
      <w:r>
        <w:rPr>
          <w:sz w:val="22"/>
        </w:rPr>
        <w:t>If hiring employees (Gusto, ADP, etc.)</w:t>
      </w:r>
    </w:p>
    <w:p/>
    <w:p>
      <w:pPr>
        <w:pStyle w:val="Heading1"/>
      </w:pPr>
      <w:r>
        <w:rPr>
          <w:b/>
          <w:color w:val="1E3A5F"/>
          <w:sz w:val="32"/>
        </w:rPr>
        <w:t>9. ANNUAL REVIEW SCHEDULE</w:t>
      </w:r>
    </w:p>
    <w:p>
      <w:pPr>
        <w:spacing w:after="120"/>
      </w:pPr>
      <w:r>
        <w:rPr>
          <w:b w:val="0"/>
          <w:i w:val="0"/>
          <w:color w:val="2C3E50"/>
          <w:sz w:val="22"/>
        </w:rPr>
        <w:t>Tax planning is ongoing. Schedule annual reviews in:</w:t>
      </w:r>
    </w:p>
    <w:p>
      <w:r>
        <w:rPr>
          <w:b/>
        </w:rPr>
        <w:t xml:space="preserve">Q4 (October-November): </w:t>
      </w:r>
      <w:r>
        <w:rPr>
          <w:sz w:val="22"/>
        </w:rPr>
        <w:t>Year-end tax planning, estimated payments review</w:t>
      </w:r>
    </w:p>
    <w:p>
      <w:r>
        <w:rPr>
          <w:b/>
        </w:rPr>
        <w:t xml:space="preserve">January: </w:t>
      </w:r>
      <w:r>
        <w:rPr>
          <w:sz w:val="22"/>
        </w:rPr>
        <w:t>Prior year tax preparation, current year projections</w:t>
      </w:r>
    </w:p>
    <w:p>
      <w:r>
        <w:rPr>
          <w:b/>
        </w:rPr>
        <w:t xml:space="preserve">April: </w:t>
      </w:r>
      <w:r>
        <w:rPr>
          <w:sz w:val="22"/>
        </w:rPr>
        <w:t>Post-filing review, mid-year adjustment planning</w:t>
      </w:r>
    </w:p>
    <w:p/>
    <w:p>
      <w:pPr>
        <w:jc w:val="center"/>
      </w:pPr>
      <w:r>
        <w:rPr>
          <w:i/>
          <w:color w:val="C00000"/>
          <w:sz w:val="20"/>
        </w:rPr>
        <w:t>This plan is a starting framework. Tax optimization requires personalized professional advice based on actual financial circumstances. Engage qualified professionals before implementing any strategy.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