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ADDENDUM 1</w:t>
      </w:r>
    </w:p>
    <w:p>
      <w:pPr>
        <w:pStyle w:val="Heading1"/>
        <w:jc w:val="center"/>
      </w:pPr>
      <w:r>
        <w:rPr>
          <w:color w:val="2A3D52"/>
        </w:rPr>
        <w:t>Organizational Architecture Resolution</w:t>
      </w:r>
    </w:p>
    <w:p>
      <w:pPr>
        <w:jc w:val="center"/>
      </w:pPr>
      <w:r>
        <w:rPr>
          <w:color w:val="B40000"/>
          <w:sz w:val="20"/>
        </w:rPr>
        <w:t>Version 2.1 | April 2026 | FOUNDER DECISION REQUIRED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addendum resolves the organizational architecture contradiction identified in the Comprehensive Critical Analysis. Two incompatible organizational models were documented:</w:t>
      </w:r>
    </w:p>
    <w:p/>
    <w:p>
      <w:r>
        <w:rPr>
          <w:b/>
        </w:rPr>
        <w:t xml:space="preserve">Model A (Business Plan): </w:t>
      </w:r>
      <w:r>
        <w:t>3-person Centaur pod (Founder/CEO, AI Reliability Engineer, Growth Lead)</w:t>
      </w:r>
    </w:p>
    <w:p/>
    <w:p>
      <w:r>
        <w:rPr>
          <w:b/>
        </w:rPr>
        <w:t xml:space="preserve">Model B (Hiring Framework): </w:t>
      </w:r>
      <w:r>
        <w:t>10+ person traditional agency structure with departmental hierarchy</w:t>
      </w:r>
    </w:p>
    <w:p/>
    <w:p>
      <w:r>
        <w:t>This document formally declares the operative organizational model for Year 1 and establishes the transition path to Year 2+ architecture.</w:t>
      </w:r>
    </w:p>
    <w:p>
      <w:r>
        <w:br w:type="page"/>
      </w:r>
    </w:p>
    <w:p>
      <w:pPr>
        <w:pStyle w:val="Heading1"/>
      </w:pPr>
      <w:r>
        <w:t>1. FORMAL RESOLUTION</w:t>
      </w:r>
    </w:p>
    <w:p>
      <w:r>
        <w:rPr>
          <w:b/>
          <w:color w:val="006400"/>
        </w:rPr>
        <w:t xml:space="preserve">RESOLVED: </w:t>
      </w:r>
      <w:r>
        <w:rPr>
          <w:color w:val="006400"/>
        </w:rPr>
        <w:t>NoDrftSystems shall operate under Model A (Centaur Pod) for Year 1 (Months 1-12). Model B (Full Agency Structure) is designated as the aspirational Year 2-3 target architecture. This resolution is effective immediately and supersedes all conflicting organizational documentation.</w:t>
      </w:r>
    </w:p>
    <w:p>
      <w:pPr>
        <w:pStyle w:val="Heading2"/>
      </w:pPr>
      <w:r>
        <w:t>1.1 Rationale for Resolution</w:t>
      </w:r>
    </w:p>
    <w:p>
      <w:r>
        <w:t>The Centaur Pod model is selected for Year 1 based on the following factors:</w:t>
      </w:r>
    </w:p>
    <w:p>
      <w:r>
        <w:rPr>
          <w:b/>
        </w:rPr>
        <w:t xml:space="preserve">Capital Efficiency: </w:t>
      </w:r>
      <w:r>
        <w:t>$15K seed capital cannot support 10+ FTE salaries</w:t>
      </w:r>
    </w:p>
    <w:p>
      <w:r>
        <w:rPr>
          <w:b/>
        </w:rPr>
        <w:t xml:space="preserve">AI-Native Positioning: </w:t>
      </w:r>
      <w:r>
        <w:t>Centaur model (human + AI) is the core differentiator</w:t>
      </w:r>
    </w:p>
    <w:p>
      <w:r>
        <w:rPr>
          <w:b/>
        </w:rPr>
        <w:t xml:space="preserve">Speed to Market: </w:t>
      </w:r>
      <w:r>
        <w:t>3-person team can launch in 30 days vs. 90+ days for full agency</w:t>
      </w:r>
    </w:p>
    <w:p>
      <w:r>
        <w:rPr>
          <w:b/>
        </w:rPr>
        <w:t xml:space="preserve">Flexibility: </w:t>
      </w:r>
      <w:r>
        <w:t>Specialist bench provides expertise without fixed overhead</w:t>
      </w:r>
    </w:p>
    <w:p>
      <w:r>
        <w:rPr>
          <w:b/>
        </w:rPr>
        <w:t xml:space="preserve">Proof Before Scale: </w:t>
      </w:r>
      <w:r>
        <w:t>Validate model with revenue before hiring FTEs</w:t>
      </w:r>
    </w:p>
    <w:p>
      <w:r>
        <w:br w:type="page"/>
      </w:r>
    </w:p>
    <w:p>
      <w:pPr>
        <w:pStyle w:val="Heading1"/>
      </w:pPr>
      <w:r>
        <w:t>2. YEAR 1 OPERATING MODEL (MONTHS 1-12)</w:t>
      </w:r>
    </w:p>
    <w:p>
      <w:pPr>
        <w:pStyle w:val="Heading2"/>
      </w:pPr>
      <w:r>
        <w:t>2.1 Core Team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A3D52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28"/>
            <w:shd w:fill="2A3D52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2A3D52"/>
          </w:tcPr>
          <w:p>
            <w:r>
              <w:rPr>
                <w:b/>
                <w:color w:val="FFFFFF"/>
              </w:rPr>
              <w:t>Compensation</w:t>
            </w:r>
          </w:p>
        </w:tc>
        <w:tc>
          <w:tcPr>
            <w:tcW w:type="dxa" w:w="1728"/>
            <w:shd w:fill="2A3D52"/>
          </w:tcPr>
          <w:p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1728"/>
            <w:shd w:fill="2A3D52"/>
          </w:tcPr>
          <w:p>
            <w:r>
              <w:rPr>
                <w:b/>
                <w:color w:val="FFFFFF"/>
              </w:rPr>
              <w:t>Month Start</w:t>
            </w:r>
          </w:p>
        </w:tc>
      </w:tr>
      <w:tr>
        <w:tc>
          <w:tcPr>
            <w:tcW w:type="dxa" w:w="1728"/>
          </w:tcPr>
          <w:p>
            <w:r>
              <w:t>Founder/CEO</w:t>
            </w:r>
          </w:p>
        </w:tc>
        <w:tc>
          <w:tcPr>
            <w:tcW w:type="dxa" w:w="1728"/>
          </w:tcPr>
          <w:p>
            <w:r>
              <w:t>Equity Owner</w:t>
            </w:r>
          </w:p>
        </w:tc>
        <w:tc>
          <w:tcPr>
            <w:tcW w:type="dxa" w:w="1728"/>
          </w:tcPr>
          <w:p>
            <w:r>
              <w:t>Equity only until revenue</w:t>
            </w:r>
          </w:p>
        </w:tc>
        <w:tc>
          <w:tcPr>
            <w:tcW w:type="dxa" w:w="1728"/>
          </w:tcPr>
          <w:p>
            <w:r>
              <w:t>Strategy, sales, key relationships</w:t>
            </w:r>
          </w:p>
        </w:tc>
        <w:tc>
          <w:tcPr>
            <w:tcW w:type="dxa" w:w="1728"/>
          </w:tcPr>
          <w:p>
            <w:r>
              <w:t>Month 1</w:t>
            </w:r>
          </w:p>
        </w:tc>
      </w:tr>
      <w:tr>
        <w:tc>
          <w:tcPr>
            <w:tcW w:type="dxa" w:w="1728"/>
          </w:tcPr>
          <w:p>
            <w:r>
              <w:t>AI Reliability Engineer (ARE)</w:t>
            </w:r>
          </w:p>
        </w:tc>
        <w:tc>
          <w:tcPr>
            <w:tcW w:type="dxa" w:w="1728"/>
          </w:tcPr>
          <w:p>
            <w:r>
              <w:t>Contractor/FTE</w:t>
            </w:r>
          </w:p>
        </w:tc>
        <w:tc>
          <w:tcPr>
            <w:tcW w:type="dxa" w:w="1728"/>
          </w:tcPr>
          <w:p>
            <w:r>
              <w:t>$1,125/month</w:t>
            </w:r>
          </w:p>
        </w:tc>
        <w:tc>
          <w:tcPr>
            <w:tcW w:type="dxa" w:w="1728"/>
          </w:tcPr>
          <w:p>
            <w:r>
              <w:t>Technical delivery, AI stack, QA</w:t>
            </w:r>
          </w:p>
        </w:tc>
        <w:tc>
          <w:tcPr>
            <w:tcW w:type="dxa" w:w="1728"/>
          </w:tcPr>
          <w:p>
            <w:r>
              <w:t>Month 1</w:t>
            </w:r>
          </w:p>
        </w:tc>
      </w:tr>
      <w:tr>
        <w:tc>
          <w:tcPr>
            <w:tcW w:type="dxa" w:w="1728"/>
          </w:tcPr>
          <w:p>
            <w:r>
              <w:t>Growth Lead</w:t>
            </w:r>
          </w:p>
        </w:tc>
        <w:tc>
          <w:tcPr>
            <w:tcW w:type="dxa" w:w="1728"/>
          </w:tcPr>
          <w:p>
            <w:r>
              <w:t>Commission-based</w:t>
            </w:r>
          </w:p>
        </w:tc>
        <w:tc>
          <w:tcPr>
            <w:tcW w:type="dxa" w:w="1728"/>
          </w:tcPr>
          <w:p>
            <w:r>
              <w:t>$750 base + 10% commission</w:t>
            </w:r>
          </w:p>
        </w:tc>
        <w:tc>
          <w:tcPr>
            <w:tcW w:type="dxa" w:w="1728"/>
          </w:tcPr>
          <w:p>
            <w:r>
              <w:t>Outreach, sales, partnerships</w:t>
            </w:r>
          </w:p>
        </w:tc>
        <w:tc>
          <w:tcPr>
            <w:tcW w:type="dxa" w:w="1728"/>
          </w:tcPr>
          <w:p>
            <w:r>
              <w:t>Month 1</w:t>
            </w:r>
          </w:p>
        </w:tc>
      </w:tr>
    </w:tbl>
    <w:p>
      <w:pPr>
        <w:pStyle w:val="Heading2"/>
      </w:pPr>
      <w:r>
        <w:t>2.2 Specialist Bench (On-Demand)</w:t>
      </w:r>
    </w:p>
    <w:p>
      <w:r>
        <w:t>Deep expertise accessed via project-based contracts, not FTEs:</w:t>
      </w:r>
    </w:p>
    <w:p>
      <w:r>
        <w:rPr>
          <w:b/>
        </w:rPr>
        <w:t xml:space="preserve">Senior Full-Stack Developer: </w:t>
      </w:r>
      <w:r>
        <w:t>Project-based at $100-150/hr</w:t>
      </w:r>
    </w:p>
    <w:p>
      <w:r>
        <w:rPr>
          <w:b/>
        </w:rPr>
        <w:t xml:space="preserve">UX/UI Designer: </w:t>
      </w:r>
      <w:r>
        <w:t>Project-based at $90-140/hr</w:t>
      </w:r>
    </w:p>
    <w:p>
      <w:r>
        <w:rPr>
          <w:b/>
        </w:rPr>
        <w:t xml:space="preserve">DevOps Engineer: </w:t>
      </w:r>
      <w:r>
        <w:t>Retainer or project at $120-180/hr</w:t>
      </w:r>
    </w:p>
    <w:p>
      <w:r>
        <w:rPr>
          <w:b/>
        </w:rPr>
        <w:t xml:space="preserve">Content Strategist: </w:t>
      </w:r>
      <w:r>
        <w:t>Project-based at $75-120/hr</w:t>
      </w:r>
    </w:p>
    <w:p>
      <w:r>
        <w:rPr>
          <w:b/>
        </w:rPr>
        <w:t xml:space="preserve">QA Specialist: </w:t>
      </w:r>
      <w:r>
        <w:t>Project-based at $80-130/hr</w:t>
      </w:r>
    </w:p>
    <w:p>
      <w:pPr>
        <w:pStyle w:val="Heading2"/>
      </w:pPr>
      <w:r>
        <w:t>2.3 AI Agent Staff</w:t>
      </w:r>
    </w:p>
    <w:p>
      <w:r>
        <w:t>The AI agent stack compensates for lean human team:</w:t>
      </w:r>
    </w:p>
    <w:p>
      <w:r>
        <w:rPr>
          <w:b/>
        </w:rPr>
        <w:t xml:space="preserve">Scope Analyst Agent: </w:t>
      </w:r>
      <w:r>
        <w:t>Project scoping, requirements analysis</w:t>
      </w:r>
    </w:p>
    <w:p>
      <w:r>
        <w:rPr>
          <w:b/>
        </w:rPr>
        <w:t xml:space="preserve">Research Agent: </w:t>
      </w:r>
      <w:r>
        <w:t>Competitive analysis, market research</w:t>
      </w:r>
    </w:p>
    <w:p>
      <w:r>
        <w:rPr>
          <w:b/>
        </w:rPr>
        <w:t xml:space="preserve">Design Agent: </w:t>
      </w:r>
      <w:r>
        <w:t>Design concepts, asset generation</w:t>
      </w:r>
    </w:p>
    <w:p>
      <w:r>
        <w:rPr>
          <w:b/>
        </w:rPr>
        <w:t xml:space="preserve">Code Agent: </w:t>
      </w:r>
      <w:r>
        <w:t>Code generation, review, documentation</w:t>
      </w:r>
    </w:p>
    <w:p>
      <w:r>
        <w:rPr>
          <w:b/>
        </w:rPr>
        <w:t xml:space="preserve">Content Agent: </w:t>
      </w:r>
      <w:r>
        <w:t>Copywriting, content creation</w:t>
      </w:r>
    </w:p>
    <w:p>
      <w:r>
        <w:rPr>
          <w:b/>
        </w:rPr>
        <w:t xml:space="preserve">QA Agent: </w:t>
      </w:r>
      <w:r>
        <w:t>Test case generation, quality validation</w:t>
      </w:r>
    </w:p>
    <w:p>
      <w:r>
        <w:rPr>
          <w:b/>
        </w:rPr>
        <w:t xml:space="preserve">Security Agent: </w:t>
      </w:r>
      <w:r>
        <w:t>Security scanning, vulnerability assessment</w:t>
      </w:r>
    </w:p>
    <w:p>
      <w:r>
        <w:rPr>
          <w:b/>
        </w:rPr>
        <w:t xml:space="preserve">PM Agent: </w:t>
      </w:r>
      <w:r>
        <w:t>Project tracking, status reporting</w:t>
      </w:r>
    </w:p>
    <w:p>
      <w:r>
        <w:rPr>
          <w:b/>
        </w:rPr>
        <w:t xml:space="preserve">Documentation Agent: </w:t>
      </w:r>
      <w:r>
        <w:t>Technical documentation, runbooks</w:t>
      </w:r>
    </w:p>
    <w:p>
      <w:r>
        <w:br w:type="page"/>
      </w:r>
    </w:p>
    <w:p>
      <w:pPr>
        <w:pStyle w:val="Heading1"/>
      </w:pPr>
      <w:r>
        <w:t>3. YEAR 2-3 TARGET ARCHITECTURE (ASPIRATIONAL)</w:t>
      </w:r>
    </w:p>
    <w:p>
      <w:r>
        <w:t>This section defines the target organizational structure to be implemented once revenue supports FTE hiring. This is NOT operative for Year 1.</w:t>
      </w:r>
    </w:p>
    <w:p>
      <w:pPr>
        <w:pStyle w:val="Heading2"/>
      </w:pPr>
      <w:r>
        <w:t>3.1 Trigger Conditions for Transition</w:t>
      </w:r>
    </w:p>
    <w:p>
      <w:pPr>
        <w:pStyle w:val="ListBullet"/>
      </w:pPr>
      <w:r>
        <w:t>Monthly recurring revenue &gt;$30,000</w:t>
      </w:r>
    </w:p>
    <w:p>
      <w:pPr>
        <w:pStyle w:val="ListBullet"/>
      </w:pPr>
      <w:r>
        <w:t>3+ concurrent retainer clients</w:t>
      </w:r>
    </w:p>
    <w:p>
      <w:pPr>
        <w:pStyle w:val="ListBullet"/>
      </w:pPr>
      <w:r>
        <w:t>Cash runway &gt;6 months at projected burn rate</w:t>
      </w:r>
    </w:p>
    <w:p>
      <w:pPr>
        <w:pStyle w:val="ListBullet"/>
      </w:pPr>
      <w:r>
        <w:t>Founder approval and board consent</w:t>
      </w:r>
    </w:p>
    <w:p>
      <w:pPr>
        <w:pStyle w:val="Heading2"/>
      </w:pPr>
      <w:r>
        <w:t>3.2 Target Structure (Year 2-3)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Roles</w:t>
            </w:r>
          </w:p>
        </w:tc>
        <w:tc>
          <w:tcPr>
            <w:tcW w:type="dxa" w:w="2880"/>
            <w:shd w:fill="2A3D52"/>
          </w:tcPr>
          <w:p>
            <w:r>
              <w:rPr>
                <w:b/>
                <w:color w:val="FFFFFF"/>
              </w:rPr>
              <w:t>Headcount</w:t>
            </w:r>
          </w:p>
        </w:tc>
      </w:tr>
      <w:tr>
        <w:tc>
          <w:tcPr>
            <w:tcW w:type="dxa" w:w="2880"/>
          </w:tcPr>
          <w:p>
            <w:r>
              <w:t>Leadership</w:t>
            </w:r>
          </w:p>
        </w:tc>
        <w:tc>
          <w:tcPr>
            <w:tcW w:type="dxa" w:w="2880"/>
          </w:tcPr>
          <w:p>
            <w:r>
              <w:t>Founder/CEO, Operations Director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Technical Director, Senior Developers (2), DevOps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Creative Director, UX/UI Designer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Growth Lead, Marketing Specialist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Project Manager, QA Specialist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Total FTEs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1"/>
      </w:pPr>
      <w:r>
        <w:t>4. YEAR 1 HIRING SEQUENCE</w:t>
      </w:r>
    </w:p>
    <w:p>
      <w:pPr>
        <w:pStyle w:val="Heading2"/>
      </w:pPr>
      <w:r>
        <w:t>4.1 Hiring Priorities by Month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60"/>
            <w:shd w:fill="2A3D52"/>
          </w:tcPr>
          <w:p>
            <w:r>
              <w:rPr>
                <w:b/>
                <w:color w:val="FFFFFF"/>
              </w:rPr>
              <w:t>Budget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ARE (contractor)</w:t>
            </w:r>
          </w:p>
        </w:tc>
        <w:tc>
          <w:tcPr>
            <w:tcW w:type="dxa" w:w="2160"/>
          </w:tcPr>
          <w:p>
            <w:r>
              <w:t>Immediate need</w:t>
            </w:r>
          </w:p>
        </w:tc>
        <w:tc>
          <w:tcPr>
            <w:tcW w:type="dxa" w:w="2160"/>
          </w:tcPr>
          <w:p>
            <w:r>
              <w:t>$1,125/mo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Growth Lead</w:t>
            </w:r>
          </w:p>
        </w:tc>
        <w:tc>
          <w:tcPr>
            <w:tcW w:type="dxa" w:w="2160"/>
          </w:tcPr>
          <w:p>
            <w:r>
              <w:t>Immediate need</w:t>
            </w:r>
          </w:p>
        </w:tc>
        <w:tc>
          <w:tcPr>
            <w:tcW w:type="dxa" w:w="2160"/>
          </w:tcPr>
          <w:p>
            <w:r>
              <w:t>$750 base + 10%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Senior Developer (project)</w:t>
            </w:r>
          </w:p>
        </w:tc>
        <w:tc>
          <w:tcPr>
            <w:tcW w:type="dxa" w:w="2160"/>
          </w:tcPr>
          <w:p>
            <w:r>
              <w:t>First Foundation project</w:t>
            </w:r>
          </w:p>
        </w:tc>
        <w:tc>
          <w:tcPr>
            <w:tcW w:type="dxa" w:w="2160"/>
          </w:tcPr>
          <w:p>
            <w:r>
              <w:t>Project cost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UX Designer (project)</w:t>
            </w:r>
          </w:p>
        </w:tc>
        <w:tc>
          <w:tcPr>
            <w:tcW w:type="dxa" w:w="2160"/>
          </w:tcPr>
          <w:p>
            <w:r>
              <w:t>Design-heavy project</w:t>
            </w:r>
          </w:p>
        </w:tc>
        <w:tc>
          <w:tcPr>
            <w:tcW w:type="dxa" w:w="2160"/>
          </w:tcPr>
          <w:p>
            <w:r>
              <w:t>Project cost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DevOps (retainer)</w:t>
            </w:r>
          </w:p>
        </w:tc>
        <w:tc>
          <w:tcPr>
            <w:tcW w:type="dxa" w:w="2160"/>
          </w:tcPr>
          <w:p>
            <w:r>
              <w:t>Multiple active projects</w:t>
            </w:r>
          </w:p>
        </w:tc>
        <w:tc>
          <w:tcPr>
            <w:tcW w:type="dxa" w:w="2160"/>
          </w:tcPr>
          <w:p>
            <w:r>
              <w:t>$2,000/mo retainer</w:t>
            </w:r>
          </w:p>
        </w:tc>
      </w:tr>
      <w:tr>
        <w:tc>
          <w:tcPr>
            <w:tcW w:type="dxa" w:w="2160"/>
          </w:tcPr>
          <w:p>
            <w:r>
              <w:t>9+</w:t>
            </w:r>
          </w:p>
        </w:tc>
        <w:tc>
          <w:tcPr>
            <w:tcW w:type="dxa" w:w="2160"/>
          </w:tcPr>
          <w:p>
            <w:r>
              <w:t>Evaluate FTE transition</w:t>
            </w:r>
          </w:p>
        </w:tc>
        <w:tc>
          <w:tcPr>
            <w:tcW w:type="dxa" w:w="2160"/>
          </w:tcPr>
          <w:p>
            <w:r>
              <w:t>Revenue &gt;$20K/mo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5. DOCUMENT STATUS UPDATE</w:t>
      </w:r>
    </w:p>
    <w:p>
      <w:pPr>
        <w:pStyle w:val="Heading2"/>
      </w:pPr>
      <w:r>
        <w:t>5.1 Superseded Documents</w:t>
      </w:r>
    </w:p>
    <w:p>
      <w:r>
        <w:t>The following documents are superseded by this resolution for Year 1 operations:</w:t>
      </w:r>
    </w:p>
    <w:p>
      <w:r>
        <w:t>- Hiring and Specialist Framework (v1.0) — ARCHIVED as aspirational Year 2-3 target</w:t>
      </w:r>
    </w:p>
    <w:p>
      <w:r>
        <w:t>- Any organizational charts showing 10+ FTE structure — ARCHIVED</w:t>
      </w:r>
    </w:p>
    <w:p>
      <w:pPr>
        <w:pStyle w:val="Heading2"/>
      </w:pPr>
      <w:r>
        <w:t>5.2 Operative Documents</w:t>
      </w:r>
    </w:p>
    <w:p>
      <w:r>
        <w:t>The following documents govern Year 1 operations:</w:t>
      </w:r>
    </w:p>
    <w:p>
      <w:r>
        <w:t>- Business Plan 2026 (v2.0) — Centaur Pod model</w:t>
      </w:r>
    </w:p>
    <w:p>
      <w:r>
        <w:t>- This Addendum 1 (v2.1) — Organizational Architecture Resolution</w:t>
      </w:r>
    </w:p>
    <w:p>
      <w:r>
        <w:t>- AI Agent Architecture (v2.0) — AI staff definitions</w:t>
      </w:r>
    </w:p>
    <w:p>
      <w:pPr>
        <w:pStyle w:val="Heading2"/>
      </w:pPr>
      <w:r>
        <w:t>5.3 Version Control</w:t>
      </w:r>
    </w:p>
    <w:p>
      <w:r>
        <w:t>This addendum is version-controlled as:</w:t>
      </w:r>
    </w:p>
    <w:p>
      <w:r>
        <w:t>- Document: NoDrftSystems_Addendum_1_Organizational_Architecture_Resolution.docx</w:t>
      </w:r>
    </w:p>
    <w:p>
      <w:r>
        <w:t>- Version: 2.1</w:t>
      </w:r>
    </w:p>
    <w:p>
      <w:r>
        <w:t>- Effective Date: Upon Founder signature</w:t>
      </w:r>
    </w:p>
    <w:p>
      <w:r>
        <w:t>- Supersedes: Hiring and Specialist Framework v1.0 (for Year 1)</w:t>
      </w:r>
    </w:p>
    <w:p>
      <w:r>
        <w:br w:type="page"/>
      </w:r>
    </w:p>
    <w:p>
      <w:pPr>
        <w:pStyle w:val="Heading1"/>
      </w:pPr>
      <w:r>
        <w:t>FOUNDER APPROVAL</w:t>
      </w:r>
    </w:p>
    <w:p>
      <w:r>
        <w:t>By signing below, the Founder formally approves this organizational architecture resolution and authorizes NoDrftSystems to operate under the Year 1 Centaur Pod model.</w:t>
      </w:r>
    </w:p>
    <w:p/>
    <w:p>
      <w:r>
        <w:t>Approved By: _________________________________</w:t>
      </w:r>
    </w:p>
    <w:p>
      <w:r>
        <w:t>Name: _________________________________</w:t>
      </w:r>
    </w:p>
    <w:p>
      <w:r>
        <w:t>Title: Founder/CEO, NoDrftSystems</w:t>
      </w:r>
    </w:p>
    <w:p>
      <w:r>
        <w:t>Date: _________________________________</w:t>
      </w:r>
    </w:p>
    <w:p/>
    <w:p>
      <w:r>
        <w:t>Witnessed By: _________________________________</w:t>
      </w:r>
    </w:p>
    <w:p>
      <w:r>
        <w:t>Name: _________________________________</w:t>
      </w:r>
    </w:p>
    <w:p>
      <w:r>
        <w:t>Title: _________________________________</w:t>
      </w:r>
    </w:p>
    <w:p>
      <w:r>
        <w:t>Date: _________________________________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B40000"/>
        <w:sz w:val="18"/>
      </w:rPr>
      <w:t>NoDrftSystems Addendum 1: Organizational Architecture Resolution | FOUNDER DECISION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