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65D"/>
          <w:sz w:val="96"/>
        </w:rPr>
        <w:t>NoDrftSystems</w:t>
      </w:r>
    </w:p>
    <w:p/>
    <w:p>
      <w:pPr>
        <w:jc w:val="center"/>
      </w:pPr>
      <w:r>
        <w:rPr>
          <w:color w:val="D69E2E"/>
          <w:sz w:val="56"/>
        </w:rPr>
        <w:t>Investor Package</w:t>
      </w:r>
    </w:p>
    <w:p/>
    <w:p>
      <w:pPr>
        <w:jc w:val="center"/>
      </w:pPr>
      <w:r>
        <w:rPr>
          <w:color w:val="4A5568"/>
          <w:sz w:val="32"/>
        </w:rPr>
        <w:t>Executive Brief + Investor Memo</w:t>
      </w:r>
    </w:p>
    <w:p/>
    <w:p/>
    <w:p/>
    <w:p>
      <w:pPr>
        <w:jc w:val="center"/>
      </w:pPr>
      <w:r>
        <w:rPr>
          <w:color w:val="718096"/>
          <w:sz w:val="24"/>
        </w:rPr>
        <w:t>April 2026</w:t>
      </w:r>
    </w:p>
    <w:p>
      <w:pPr>
        <w:jc w:val="center"/>
      </w:pPr>
      <w:r>
        <w:rPr>
          <w:color w:val="C53030"/>
          <w:sz w:val="22"/>
        </w:rPr>
        <w:t>Confidential - Investor Distribution Only</w:t>
      </w:r>
    </w:p>
    <w:p>
      <w:r>
        <w:br w:type="page"/>
      </w:r>
    </w:p>
    <w:p>
      <w:pPr>
        <w:pStyle w:val="Heading1"/>
      </w:pPr>
      <w:r>
        <w:t>ONE-PAGE EXECUTIVE BRIEF</w:t>
      </w:r>
    </w:p>
    <w:p>
      <w:pPr>
        <w:pStyle w:val="Heading2"/>
      </w:pPr>
      <w:r>
        <w:t>What We Do</w:t>
      </w:r>
    </w:p>
    <w:p>
      <w:r>
        <w:t>NoDrftSystems designs and builds modern websites, digital platforms, and business systems for organizations that need stronger positioning, better conversion, and more disciplined execution.</w:t>
      </w:r>
    </w:p>
    <w:p>
      <w:pPr>
        <w:pStyle w:val="Heading2"/>
      </w:pPr>
      <w:r>
        <w:t>How We Win</w:t>
      </w:r>
    </w:p>
    <w:p>
      <w:r>
        <w:t>We are not a generic agency. We operate with structured scoping, controlled delivery, and a quality standard built to reduce drift, confusion, and wasted motion after handoff. Our Centaur Organization model combines Colombian technical talent with AI-augmented production to deliver U.S.-tier quality at 25% of traditional costs.</w:t>
      </w:r>
    </w:p>
    <w:p>
      <w:pPr>
        <w:pStyle w:val="Heading2"/>
      </w:pPr>
      <w:r>
        <w:t>Commercial Offer</w:t>
      </w:r>
    </w:p>
    <w:p>
      <w:r>
        <w:t>Package ladder with verified entry anchors: Discovery Sprint ($2,000) and Conversion Landing Page Sprint (from $2,500). Higher tiers include Launch Site, Authority Website, Platform Starter, and Ecosystem Build. Three retainer tiers provide ongoing support and optimization.</w:t>
      </w:r>
    </w:p>
    <w:p>
      <w:pPr>
        <w:pStyle w:val="Heading2"/>
      </w:pPr>
      <w:r>
        <w:t>Differentiators</w:t>
      </w:r>
    </w:p>
    <w:tbl>
      <w:tblPr>
        <w:tblStyle w:val="TableGrid"/>
        <w:tblW w:type="auto" w:w="0"/>
        <w:tblLook w:firstColumn="1" w:firstRow="1" w:lastColumn="0" w:lastRow="0" w:noHBand="0" w:noVBand="1" w:val="04A0"/>
      </w:tblPr>
      <w:tblGrid>
        <w:gridCol w:w="4320"/>
        <w:gridCol w:w="4320"/>
      </w:tblGrid>
      <w:tr>
        <w:tc>
          <w:tcPr>
            <w:tcW w:type="dxa" w:w="4320"/>
          </w:tcPr>
          <w:p>
            <w:r>
              <w:t>Differentiator</w:t>
            </w:r>
          </w:p>
        </w:tc>
        <w:tc>
          <w:tcPr>
            <w:tcW w:type="dxa" w:w="4320"/>
          </w:tcPr>
          <w:p>
            <w:r>
              <w:t>Customer Impact</w:t>
            </w:r>
          </w:p>
        </w:tc>
      </w:tr>
      <w:tr>
        <w:tc>
          <w:tcPr>
            <w:tcW w:type="dxa" w:w="4320"/>
          </w:tcPr>
          <w:p>
            <w:r>
              <w:t>Clarity before build</w:t>
            </w:r>
          </w:p>
        </w:tc>
        <w:tc>
          <w:tcPr>
            <w:tcW w:type="dxa" w:w="4320"/>
          </w:tcPr>
          <w:p>
            <w:r>
              <w:t>No scope ambiguity, no surprise costs</w:t>
            </w:r>
          </w:p>
        </w:tc>
      </w:tr>
      <w:tr>
        <w:tc>
          <w:tcPr>
            <w:tcW w:type="dxa" w:w="4320"/>
          </w:tcPr>
          <w:p>
            <w:r>
              <w:t>Structured packages</w:t>
            </w:r>
          </w:p>
        </w:tc>
        <w:tc>
          <w:tcPr>
            <w:tcW w:type="dxa" w:w="4320"/>
          </w:tcPr>
          <w:p>
            <w:r>
              <w:t>Know exactly what you're buying</w:t>
            </w:r>
          </w:p>
        </w:tc>
      </w:tr>
      <w:tr>
        <w:tc>
          <w:tcPr>
            <w:tcW w:type="dxa" w:w="4320"/>
          </w:tcPr>
          <w:p>
            <w:r>
              <w:t>Plain-language scope</w:t>
            </w:r>
          </w:p>
        </w:tc>
        <w:tc>
          <w:tcPr>
            <w:tcW w:type="dxa" w:w="4320"/>
          </w:tcPr>
          <w:p>
            <w:r>
              <w:t>Understand deliverables without technical jargon</w:t>
            </w:r>
          </w:p>
        </w:tc>
      </w:tr>
      <w:tr>
        <w:tc>
          <w:tcPr>
            <w:tcW w:type="dxa" w:w="4320"/>
          </w:tcPr>
          <w:p>
            <w:r>
              <w:t>Seriousness &amp; discretion</w:t>
            </w:r>
          </w:p>
        </w:tc>
        <w:tc>
          <w:tcPr>
            <w:tcW w:type="dxa" w:w="4320"/>
          </w:tcPr>
          <w:p>
            <w:r>
              <w:t>Professional handling of sensitive projects</w:t>
            </w:r>
          </w:p>
        </w:tc>
      </w:tr>
      <w:tr>
        <w:tc>
          <w:tcPr>
            <w:tcW w:type="dxa" w:w="4320"/>
          </w:tcPr>
          <w:p>
            <w:r>
              <w:t>Controlled proof posture</w:t>
            </w:r>
          </w:p>
        </w:tc>
        <w:tc>
          <w:tcPr>
            <w:tcW w:type="dxa" w:w="4320"/>
          </w:tcPr>
          <w:p>
            <w:r>
              <w:t>Confidentiality-safe engagement examples</w:t>
            </w:r>
          </w:p>
        </w:tc>
      </w:tr>
      <w:tr>
        <w:tc>
          <w:tcPr>
            <w:tcW w:type="dxa" w:w="4320"/>
          </w:tcPr>
          <w:p>
            <w:r>
              <w:t>Fit discipline</w:t>
            </w:r>
          </w:p>
        </w:tc>
        <w:tc>
          <w:tcPr>
            <w:tcW w:type="dxa" w:w="4320"/>
          </w:tcPr>
          <w:p>
            <w:r>
              <w:t>We say no to projects that don't match our strengths</w:t>
            </w:r>
          </w:p>
        </w:tc>
      </w:tr>
      <w:tr>
        <w:tc>
          <w:tcPr>
            <w:tcW w:type="dxa" w:w="4320"/>
          </w:tcPr>
          <w:p>
            <w:r>
              <w:t>Scale progression</w:t>
            </w:r>
          </w:p>
        </w:tc>
        <w:tc>
          <w:tcPr>
            <w:tcW w:type="dxa" w:w="4320"/>
          </w:tcPr>
          <w:p>
            <w:r>
              <w:t>Start with a page, grow to an ecosystem</w:t>
            </w:r>
          </w:p>
        </w:tc>
      </w:tr>
    </w:tbl>
    <w:p/>
    <w:p>
      <w:pPr>
        <w:pStyle w:val="Heading2"/>
      </w:pPr>
      <w:r>
        <w:t>Operating Model</w:t>
      </w:r>
    </w:p>
    <w:p>
      <w:r>
        <w:t>Human-led authority with AI-augmented production and multi-pass QA (package integrity, plain-language, pricing safety, public-proof safety, bilingual, accessibility). Final release requires human sign-off.</w:t>
      </w:r>
    </w:p>
    <w:p>
      <w:pPr>
        <w:pStyle w:val="Heading2"/>
      </w:pPr>
      <w:r>
        <w:t>Financial Snapshot</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Seed Capital</w:t>
            </w:r>
          </w:p>
        </w:tc>
        <w:tc>
          <w:tcPr>
            <w:tcW w:type="dxa" w:w="4320"/>
          </w:tcPr>
          <w:p>
            <w:r>
              <w:t>$15,000</w:t>
            </w:r>
          </w:p>
        </w:tc>
      </w:tr>
      <w:tr>
        <w:tc>
          <w:tcPr>
            <w:tcW w:type="dxa" w:w="4320"/>
          </w:tcPr>
          <w:p>
            <w:r>
              <w:t>Monthly Burn</w:t>
            </w:r>
          </w:p>
        </w:tc>
        <w:tc>
          <w:tcPr>
            <w:tcW w:type="dxa" w:w="4320"/>
          </w:tcPr>
          <w:p>
            <w:r>
              <w:t>~$2,815</w:t>
            </w:r>
          </w:p>
        </w:tc>
      </w:tr>
      <w:tr>
        <w:tc>
          <w:tcPr>
            <w:tcW w:type="dxa" w:w="4320"/>
          </w:tcPr>
          <w:p>
            <w:r>
              <w:t>Runway</w:t>
            </w:r>
          </w:p>
        </w:tc>
        <w:tc>
          <w:tcPr>
            <w:tcW w:type="dxa" w:w="4320"/>
          </w:tcPr>
          <w:p>
            <w:r>
              <w:t>5.3+ months</w:t>
            </w:r>
          </w:p>
        </w:tc>
      </w:tr>
      <w:tr>
        <w:tc>
          <w:tcPr>
            <w:tcW w:type="dxa" w:w="4320"/>
          </w:tcPr>
          <w:p>
            <w:r>
              <w:t>Break-even</w:t>
            </w:r>
          </w:p>
        </w:tc>
        <w:tc>
          <w:tcPr>
            <w:tcW w:type="dxa" w:w="4320"/>
          </w:tcPr>
          <w:p>
            <w:r>
              <w:t>Month 2</w:t>
            </w:r>
          </w:p>
        </w:tc>
      </w:tr>
      <w:tr>
        <w:tc>
          <w:tcPr>
            <w:tcW w:type="dxa" w:w="4320"/>
          </w:tcPr>
          <w:p>
            <w:r>
              <w:t>Y1 Revenue (Base)</w:t>
            </w:r>
          </w:p>
        </w:tc>
        <w:tc>
          <w:tcPr>
            <w:tcW w:type="dxa" w:w="4320"/>
          </w:tcPr>
          <w:p>
            <w:r>
              <w:t>$128,000</w:t>
            </w:r>
          </w:p>
        </w:tc>
      </w:tr>
      <w:tr>
        <w:tc>
          <w:tcPr>
            <w:tcW w:type="dxa" w:w="4320"/>
          </w:tcPr>
          <w:p>
            <w:r>
              <w:t>Y1 Revenue (Bull)</w:t>
            </w:r>
          </w:p>
        </w:tc>
        <w:tc>
          <w:tcPr>
            <w:tcW w:type="dxa" w:w="4320"/>
          </w:tcPr>
          <w:p>
            <w:r>
              <w:t>$240,000</w:t>
            </w:r>
          </w:p>
        </w:tc>
      </w:tr>
      <w:tr>
        <w:tc>
          <w:tcPr>
            <w:tcW w:type="dxa" w:w="4320"/>
          </w:tcPr>
          <w:p>
            <w:r>
              <w:t>Gross Margin Target</w:t>
            </w:r>
          </w:p>
        </w:tc>
        <w:tc>
          <w:tcPr>
            <w:tcW w:type="dxa" w:w="4320"/>
          </w:tcPr>
          <w:p>
            <w:r>
              <w:t>75%+</w:t>
            </w:r>
          </w:p>
        </w:tc>
      </w:tr>
    </w:tbl>
    <w:p/>
    <w:p>
      <w:pPr>
        <w:pStyle w:val="Heading2"/>
      </w:pPr>
      <w:r>
        <w:t>Immediate Decision Gates</w:t>
      </w:r>
    </w:p>
    <w:p>
      <w:r>
        <w:t>Public label (Capabilities vs Website Packages), price lock for higher tiers, package boundaries, proof posture, and careers posture require founder decisions before publication.</w:t>
      </w:r>
    </w:p>
    <w:p>
      <w:r>
        <w:br w:type="page"/>
      </w:r>
    </w:p>
    <w:p>
      <w:pPr>
        <w:pStyle w:val="Heading1"/>
      </w:pPr>
      <w:r>
        <w:t>INVESTOR MEMO</w:t>
      </w:r>
    </w:p>
    <w:p>
      <w:pPr>
        <w:pStyle w:val="Heading2"/>
      </w:pPr>
      <w:r>
        <w:t>Investment Thesis</w:t>
      </w:r>
    </w:p>
    <w:p>
      <w:r>
        <w:t>A package-led digital build firm with a governed delivery OS designed to reduce drift and increase handoff durability—positioned for premium buyers who value clarity, controlled execution, and trust. The Centaur Organization model creates structural cost advantages while maintaining quality through human validation.</w:t>
      </w:r>
    </w:p>
    <w:p>
      <w:pPr>
        <w:pStyle w:val="Heading2"/>
      </w:pPr>
      <w:r>
        <w:t>The Problem</w:t>
      </w:r>
    </w:p>
    <w:p>
      <w:r>
        <w:t>Many website/platform engagements fail due to ambiguous scope, open-ended agency behavior, unclear deliverables, weak documentation, and fragile post-handoff correctness. Clients pay premium rates but receive inconsistent quality, timeline overruns, and ongoing maintenance headaches.</w:t>
      </w:r>
    </w:p>
    <w:p>
      <w:pPr>
        <w:pStyle w:val="Heading2"/>
      </w:pPr>
      <w:r>
        <w:t>The Solution</w:t>
      </w:r>
    </w:p>
    <w:tbl>
      <w:tblPr>
        <w:tblStyle w:val="TableGrid"/>
        <w:tblW w:type="auto" w:w="0"/>
        <w:tblLook w:firstColumn="1" w:firstRow="1" w:lastColumn="0" w:lastRow="0" w:noHBand="0" w:noVBand="1" w:val="04A0"/>
      </w:tblPr>
      <w:tblGrid>
        <w:gridCol w:w="4320"/>
        <w:gridCol w:w="4320"/>
      </w:tblGrid>
      <w:tr>
        <w:tc>
          <w:tcPr>
            <w:tcW w:type="dxa" w:w="4320"/>
          </w:tcPr>
          <w:p>
            <w:r>
              <w:t>Problem</w:t>
            </w:r>
          </w:p>
        </w:tc>
        <w:tc>
          <w:tcPr>
            <w:tcW w:type="dxa" w:w="4320"/>
          </w:tcPr>
          <w:p>
            <w:r>
              <w:t>NoDrftSystems Solution</w:t>
            </w:r>
          </w:p>
        </w:tc>
      </w:tr>
      <w:tr>
        <w:tc>
          <w:tcPr>
            <w:tcW w:type="dxa" w:w="4320"/>
          </w:tcPr>
          <w:p>
            <w:r>
              <w:t>Ambiguous scope</w:t>
            </w:r>
          </w:p>
        </w:tc>
        <w:tc>
          <w:tcPr>
            <w:tcW w:type="dxa" w:w="4320"/>
          </w:tcPr>
          <w:p>
            <w:r>
              <w:t>Defined entry points with explicit inclusions/exclusions</w:t>
            </w:r>
          </w:p>
        </w:tc>
      </w:tr>
      <w:tr>
        <w:tc>
          <w:tcPr>
            <w:tcW w:type="dxa" w:w="4320"/>
          </w:tcPr>
          <w:p>
            <w:r>
              <w:t>Open-ended behavior</w:t>
            </w:r>
          </w:p>
        </w:tc>
        <w:tc>
          <w:tcPr>
            <w:tcW w:type="dxa" w:w="4320"/>
          </w:tcPr>
          <w:p>
            <w:r>
              <w:t>Disciplined qualification and package integrity rules</w:t>
            </w:r>
          </w:p>
        </w:tc>
      </w:tr>
      <w:tr>
        <w:tc>
          <w:tcPr>
            <w:tcW w:type="dxa" w:w="4320"/>
          </w:tcPr>
          <w:p>
            <w:r>
              <w:t>Unclear deliverables</w:t>
            </w:r>
          </w:p>
        </w:tc>
        <w:tc>
          <w:tcPr>
            <w:tcW w:type="dxa" w:w="4320"/>
          </w:tcPr>
          <w:p>
            <w:r>
              <w:t>Plain-language scope explanations with buyer-safe glossary</w:t>
            </w:r>
          </w:p>
        </w:tc>
      </w:tr>
      <w:tr>
        <w:tc>
          <w:tcPr>
            <w:tcW w:type="dxa" w:w="4320"/>
          </w:tcPr>
          <w:p>
            <w:r>
              <w:t>Weak documentation</w:t>
            </w:r>
          </w:p>
        </w:tc>
        <w:tc>
          <w:tcPr>
            <w:tcW w:type="dxa" w:w="4320"/>
          </w:tcPr>
          <w:p>
            <w:r>
              <w:t>Context-First Definition of Done with 5-gate validation</w:t>
            </w:r>
          </w:p>
        </w:tc>
      </w:tr>
      <w:tr>
        <w:tc>
          <w:tcPr>
            <w:tcW w:type="dxa" w:w="4320"/>
          </w:tcPr>
          <w:p>
            <w:r>
              <w:t>Fragile post-handoff</w:t>
            </w:r>
          </w:p>
        </w:tc>
        <w:tc>
          <w:tcPr>
            <w:tcW w:type="dxa" w:w="4320"/>
          </w:tcPr>
          <w:p>
            <w:r>
              <w:t>Multi-pass QA and fail-closed release controls</w:t>
            </w:r>
          </w:p>
        </w:tc>
      </w:tr>
    </w:tbl>
    <w:p/>
    <w:p>
      <w:pPr>
        <w:pStyle w:val="Heading2"/>
      </w:pPr>
      <w:r>
        <w:t>Competitive Moat</w:t>
      </w:r>
    </w:p>
    <w:p>
      <w:r>
        <w:t>Internal OS assets: package briefs, copy modules, glossary (buyer-safe technical explanations), QA checklists, review passes, completion reports, and release gates. Public messaging describes standards—not secrets—and does not expose proprietary internals.</w:t>
      </w:r>
    </w:p>
    <w:p>
      <w:pPr>
        <w:pStyle w:val="Heading2"/>
      </w:pPr>
      <w:r>
        <w:t>Market Opportunity</w:t>
      </w:r>
    </w:p>
    <w:p>
      <w:r>
        <w:t>Target: U.S.-based SMBs (10-50 employees) in PropTech, FinTech, Professional Services, and Real Estate. Priority geographies: Miami, Austin, Denver. Buy signals: recent funding ($500K+), actively hiring developers, outdated web presence, posting about digital transformation.</w:t>
      </w:r>
    </w:p>
    <w:p>
      <w:pPr>
        <w:pStyle w:val="Heading2"/>
      </w:pPr>
      <w:r>
        <w:t>Unit Economics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Tier</w:t>
            </w:r>
          </w:p>
        </w:tc>
        <w:tc>
          <w:tcPr>
            <w:tcW w:type="dxa" w:w="1728"/>
          </w:tcPr>
          <w:p>
            <w:r>
              <w:t>Price</w:t>
            </w:r>
          </w:p>
        </w:tc>
        <w:tc>
          <w:tcPr>
            <w:tcW w:type="dxa" w:w="1728"/>
          </w:tcPr>
          <w:p>
            <w:r>
              <w:t>Cost</w:t>
            </w:r>
          </w:p>
        </w:tc>
        <w:tc>
          <w:tcPr>
            <w:tcW w:type="dxa" w:w="1728"/>
          </w:tcPr>
          <w:p>
            <w:r>
              <w:t>Gross Profit</w:t>
            </w:r>
          </w:p>
        </w:tc>
        <w:tc>
          <w:tcPr>
            <w:tcW w:type="dxa" w:w="1728"/>
          </w:tcPr>
          <w:p>
            <w:r>
              <w:t>Margin</w:t>
            </w:r>
          </w:p>
        </w:tc>
      </w:tr>
      <w:tr>
        <w:tc>
          <w:tcPr>
            <w:tcW w:type="dxa" w:w="1728"/>
          </w:tcPr>
          <w:p>
            <w:r>
              <w:t>Discovery Sprint</w:t>
            </w:r>
          </w:p>
        </w:tc>
        <w:tc>
          <w:tcPr>
            <w:tcW w:type="dxa" w:w="1728"/>
          </w:tcPr>
          <w:p>
            <w:r>
              <w:t>$2,000</w:t>
            </w:r>
          </w:p>
        </w:tc>
        <w:tc>
          <w:tcPr>
            <w:tcW w:type="dxa" w:w="1728"/>
          </w:tcPr>
          <w:p>
            <w:r>
              <w:t>$300</w:t>
            </w:r>
          </w:p>
        </w:tc>
        <w:tc>
          <w:tcPr>
            <w:tcW w:type="dxa" w:w="1728"/>
          </w:tcPr>
          <w:p>
            <w:r>
              <w:t>$1,700</w:t>
            </w:r>
          </w:p>
        </w:tc>
        <w:tc>
          <w:tcPr>
            <w:tcW w:type="dxa" w:w="1728"/>
          </w:tcPr>
          <w:p>
            <w:r>
              <w:t>85%</w:t>
            </w:r>
          </w:p>
        </w:tc>
      </w:tr>
      <w:tr>
        <w:tc>
          <w:tcPr>
            <w:tcW w:type="dxa" w:w="1728"/>
          </w:tcPr>
          <w:p>
            <w:r>
              <w:t>Launch</w:t>
            </w:r>
          </w:p>
        </w:tc>
        <w:tc>
          <w:tcPr>
            <w:tcW w:type="dxa" w:w="1728"/>
          </w:tcPr>
          <w:p>
            <w:r>
              <w:t>$3,500</w:t>
            </w:r>
          </w:p>
        </w:tc>
        <w:tc>
          <w:tcPr>
            <w:tcW w:type="dxa" w:w="1728"/>
          </w:tcPr>
          <w:p>
            <w:r>
              <w:t>$440</w:t>
            </w:r>
          </w:p>
        </w:tc>
        <w:tc>
          <w:tcPr>
            <w:tcW w:type="dxa" w:w="1728"/>
          </w:tcPr>
          <w:p>
            <w:r>
              <w:t>$3,060</w:t>
            </w:r>
          </w:p>
        </w:tc>
        <w:tc>
          <w:tcPr>
            <w:tcW w:type="dxa" w:w="1728"/>
          </w:tcPr>
          <w:p>
            <w:r>
              <w:t>87%</w:t>
            </w:r>
          </w:p>
        </w:tc>
      </w:tr>
      <w:tr>
        <w:tc>
          <w:tcPr>
            <w:tcW w:type="dxa" w:w="1728"/>
          </w:tcPr>
          <w:p>
            <w:r>
              <w:t>Platform</w:t>
            </w:r>
          </w:p>
        </w:tc>
        <w:tc>
          <w:tcPr>
            <w:tcW w:type="dxa" w:w="1728"/>
          </w:tcPr>
          <w:p>
            <w:r>
              <w:t>$15,000</w:t>
            </w:r>
          </w:p>
        </w:tc>
        <w:tc>
          <w:tcPr>
            <w:tcW w:type="dxa" w:w="1728"/>
          </w:tcPr>
          <w:p>
            <w:r>
              <w:t>$2,960</w:t>
            </w:r>
          </w:p>
        </w:tc>
        <w:tc>
          <w:tcPr>
            <w:tcW w:type="dxa" w:w="1728"/>
          </w:tcPr>
          <w:p>
            <w:r>
              <w:t>$12,040</w:t>
            </w:r>
          </w:p>
        </w:tc>
        <w:tc>
          <w:tcPr>
            <w:tcW w:type="dxa" w:w="1728"/>
          </w:tcPr>
          <w:p>
            <w:r>
              <w:t>80%</w:t>
            </w:r>
          </w:p>
        </w:tc>
      </w:tr>
      <w:tr>
        <w:tc>
          <w:tcPr>
            <w:tcW w:type="dxa" w:w="1728"/>
          </w:tcPr>
          <w:p>
            <w:r>
              <w:t>Ecosystem</w:t>
            </w:r>
          </w:p>
        </w:tc>
        <w:tc>
          <w:tcPr>
            <w:tcW w:type="dxa" w:w="1728"/>
          </w:tcPr>
          <w:p>
            <w:r>
              <w:t>$27,500</w:t>
            </w:r>
          </w:p>
        </w:tc>
        <w:tc>
          <w:tcPr>
            <w:tcW w:type="dxa" w:w="1728"/>
          </w:tcPr>
          <w:p>
            <w:r>
              <w:t>$7,840</w:t>
            </w:r>
          </w:p>
        </w:tc>
        <w:tc>
          <w:tcPr>
            <w:tcW w:type="dxa" w:w="1728"/>
          </w:tcPr>
          <w:p>
            <w:r>
              <w:t>$19,660</w:t>
            </w:r>
          </w:p>
        </w:tc>
        <w:tc>
          <w:tcPr>
            <w:tcW w:type="dxa" w:w="1728"/>
          </w:tcPr>
          <w:p>
            <w:r>
              <w:t>71%</w:t>
            </w:r>
          </w:p>
        </w:tc>
      </w:tr>
    </w:tbl>
    <w:p/>
    <w:p>
      <w:pPr>
        <w:pStyle w:val="Heading2"/>
      </w:pPr>
      <w:r>
        <w:t>Risks &amp; Controls</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Control Mechanism</w:t>
            </w:r>
          </w:p>
        </w:tc>
      </w:tr>
      <w:tr>
        <w:tc>
          <w:tcPr>
            <w:tcW w:type="dxa" w:w="4320"/>
          </w:tcPr>
          <w:p>
            <w:r>
              <w:t>Pricing drift</w:t>
            </w:r>
          </w:p>
        </w:tc>
        <w:tc>
          <w:tcPr>
            <w:tcW w:type="dxa" w:w="4320"/>
          </w:tcPr>
          <w:p>
            <w:r>
              <w:t>Founder approval required for all public pricing</w:t>
            </w:r>
          </w:p>
        </w:tc>
      </w:tr>
      <w:tr>
        <w:tc>
          <w:tcPr>
            <w:tcW w:type="dxa" w:w="4320"/>
          </w:tcPr>
          <w:p>
            <w:r>
              <w:t>Proof overexposure</w:t>
            </w:r>
          </w:p>
        </w:tc>
        <w:tc>
          <w:tcPr>
            <w:tcW w:type="dxa" w:w="4320"/>
          </w:tcPr>
          <w:p>
            <w:r>
              <w:t>Controlled snapshots; no client naming by default</w:t>
            </w:r>
          </w:p>
        </w:tc>
      </w:tr>
      <w:tr>
        <w:tc>
          <w:tcPr>
            <w:tcW w:type="dxa" w:w="4320"/>
          </w:tcPr>
          <w:p>
            <w:r>
              <w:t>Workflow privacy</w:t>
            </w:r>
          </w:p>
        </w:tc>
        <w:tc>
          <w:tcPr>
            <w:tcW w:type="dxa" w:w="4320"/>
          </w:tcPr>
          <w:p>
            <w:r>
              <w:t>Workflow-specific privacy disclosures</w:t>
            </w:r>
          </w:p>
        </w:tc>
      </w:tr>
      <w:tr>
        <w:tc>
          <w:tcPr>
            <w:tcW w:type="dxa" w:w="4320"/>
          </w:tcPr>
          <w:p>
            <w:r>
              <w:t>Bilingual quality</w:t>
            </w:r>
          </w:p>
        </w:tc>
        <w:tc>
          <w:tcPr>
            <w:tcW w:type="dxa" w:w="4320"/>
          </w:tcPr>
          <w:p>
            <w:r>
              <w:t>Transcreation preferred over literal translation</w:t>
            </w:r>
          </w:p>
        </w:tc>
      </w:tr>
      <w:tr>
        <w:tc>
          <w:tcPr>
            <w:tcW w:type="dxa" w:w="4320"/>
          </w:tcPr>
          <w:p>
            <w:r>
              <w:t>AI liability</w:t>
            </w:r>
          </w:p>
        </w:tc>
        <w:tc>
          <w:tcPr>
            <w:tcW w:type="dxa" w:w="4320"/>
          </w:tcPr>
          <w:p>
            <w:r>
              <w:t>$10K liability cap in MSA; human validation required</w:t>
            </w:r>
          </w:p>
        </w:tc>
      </w:tr>
      <w:tr>
        <w:tc>
          <w:tcPr>
            <w:tcW w:type="dxa" w:w="4320"/>
          </w:tcPr>
          <w:p>
            <w:r>
              <w:t>Bad clients</w:t>
            </w:r>
          </w:p>
        </w:tc>
        <w:tc>
          <w:tcPr>
            <w:tcW w:type="dxa" w:w="4320"/>
          </w:tcPr>
          <w:p>
            <w:r>
              <w:t>Kill switch framework; qualification scorecard</w:t>
            </w:r>
          </w:p>
        </w:tc>
      </w:tr>
    </w:tbl>
    <w:p/>
    <w:p>
      <w:pPr>
        <w:pStyle w:val="Heading2"/>
      </w:pPr>
      <w:r>
        <w:t>Use of Funds</w:t>
      </w:r>
    </w:p>
    <w:p>
      <w:r>
        <w:t>$15,000 seed capital allocation: Legal entity setup ($650), AI infrastructure ($5,640), human capital ($4,875), sales tools ($1,140), security/insurance ($1,000), and contingency reserve ($1,695). Funds 6+ months runway to cash-flow positive.</w:t>
      </w:r>
    </w:p>
    <w:p>
      <w:pPr>
        <w:pStyle w:val="Heading2"/>
      </w:pPr>
      <w:r>
        <w:t>Next Milestones</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Target Date</w:t>
            </w:r>
          </w:p>
        </w:tc>
        <w:tc>
          <w:tcPr>
            <w:tcW w:type="dxa" w:w="2880"/>
          </w:tcPr>
          <w:p>
            <w:r>
              <w:t>Success Criteria</w:t>
            </w:r>
          </w:p>
        </w:tc>
      </w:tr>
      <w:tr>
        <w:tc>
          <w:tcPr>
            <w:tcW w:type="dxa" w:w="2880"/>
          </w:tcPr>
          <w:p>
            <w:r>
              <w:t>First client signed</w:t>
            </w:r>
          </w:p>
        </w:tc>
        <w:tc>
          <w:tcPr>
            <w:tcW w:type="dxa" w:w="2880"/>
          </w:tcPr>
          <w:p>
            <w:r>
              <w:t>Week 8</w:t>
            </w:r>
          </w:p>
        </w:tc>
        <w:tc>
          <w:tcPr>
            <w:tcW w:type="dxa" w:w="2880"/>
          </w:tcPr>
          <w:p>
            <w:r>
              <w:t>$3,500+ contract, 40% deposit</w:t>
            </w:r>
          </w:p>
        </w:tc>
      </w:tr>
      <w:tr>
        <w:tc>
          <w:tcPr>
            <w:tcW w:type="dxa" w:w="2880"/>
          </w:tcPr>
          <w:p>
            <w:r>
              <w:t>Break-even</w:t>
            </w:r>
          </w:p>
        </w:tc>
        <w:tc>
          <w:tcPr>
            <w:tcW w:type="dxa" w:w="2880"/>
          </w:tcPr>
          <w:p>
            <w:r>
              <w:t>Month 2</w:t>
            </w:r>
          </w:p>
        </w:tc>
        <w:tc>
          <w:tcPr>
            <w:tcW w:type="dxa" w:w="2880"/>
          </w:tcPr>
          <w:p>
            <w:r>
              <w:t>Revenue covers operating costs</w:t>
            </w:r>
          </w:p>
        </w:tc>
      </w:tr>
      <w:tr>
        <w:tc>
          <w:tcPr>
            <w:tcW w:type="dxa" w:w="2880"/>
          </w:tcPr>
          <w:p>
            <w:r>
              <w:t>Revenue validation</w:t>
            </w:r>
          </w:p>
        </w:tc>
        <w:tc>
          <w:tcPr>
            <w:tcW w:type="dxa" w:w="2880"/>
          </w:tcPr>
          <w:p>
            <w:r>
              <w:t>Month 4</w:t>
            </w:r>
          </w:p>
        </w:tc>
        <w:tc>
          <w:tcPr>
            <w:tcW w:type="dxa" w:w="2880"/>
          </w:tcPr>
          <w:p>
            <w:r>
              <w:t>2-3 closed projects + 1 retainer</w:t>
            </w:r>
          </w:p>
        </w:tc>
      </w:tr>
      <w:tr>
        <w:tc>
          <w:tcPr>
            <w:tcW w:type="dxa" w:w="2880"/>
          </w:tcPr>
          <w:p>
            <w:r>
              <w:t>Team expansion</w:t>
            </w:r>
          </w:p>
        </w:tc>
        <w:tc>
          <w:tcPr>
            <w:tcW w:type="dxa" w:w="2880"/>
          </w:tcPr>
          <w:p>
            <w:r>
              <w:t>Month 6</w:t>
            </w:r>
          </w:p>
        </w:tc>
        <w:tc>
          <w:tcPr>
            <w:tcW w:type="dxa" w:w="2880"/>
          </w:tcPr>
          <w:p>
            <w:r>
              <w:t>Junior Validator hired</w:t>
            </w:r>
          </w:p>
        </w:tc>
      </w:tr>
      <w:tr>
        <w:tc>
          <w:tcPr>
            <w:tcW w:type="dxa" w:w="2880"/>
          </w:tcPr>
          <w:p>
            <w:r>
              <w:t>SOC 2 initiated</w:t>
            </w:r>
          </w:p>
        </w:tc>
        <w:tc>
          <w:tcPr>
            <w:tcW w:type="dxa" w:w="2880"/>
          </w:tcPr>
          <w:p>
            <w:r>
              <w:t>Month 9</w:t>
            </w:r>
          </w:p>
        </w:tc>
        <w:tc>
          <w:tcPr>
            <w:tcW w:type="dxa" w:w="2880"/>
          </w:tcPr>
          <w:p>
            <w:r>
              <w:t>Type I audit underway</w:t>
            </w:r>
          </w:p>
        </w:tc>
      </w:tr>
      <w:tr>
        <w:tc>
          <w:tcPr>
            <w:tcW w:type="dxa" w:w="2880"/>
          </w:tcPr>
          <w:p>
            <w:r>
              <w:t>Year 1 close</w:t>
            </w:r>
          </w:p>
        </w:tc>
        <w:tc>
          <w:tcPr>
            <w:tcW w:type="dxa" w:w="2880"/>
          </w:tcPr>
          <w:p>
            <w:r>
              <w:t>Month 12</w:t>
            </w:r>
          </w:p>
        </w:tc>
        <w:tc>
          <w:tcPr>
            <w:tcW w:type="dxa" w:w="2880"/>
          </w:tcPr>
          <w:p>
            <w:r>
              <w:t>$128K-$240K revenue achieved</w:t>
            </w:r>
          </w:p>
        </w:tc>
      </w:tr>
    </w:tbl>
    <w:p/>
    <w:p>
      <w:pPr>
        <w:pStyle w:val="Heading2"/>
      </w:pPr>
      <w:r>
        <w:t>Key Performance Indicators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KPI</w:t>
            </w:r>
          </w:p>
        </w:tc>
        <w:tc>
          <w:tcPr>
            <w:tcW w:type="dxa" w:w="2160"/>
          </w:tcPr>
          <w:p>
            <w:r>
              <w:t>M3</w:t>
            </w:r>
          </w:p>
        </w:tc>
        <w:tc>
          <w:tcPr>
            <w:tcW w:type="dxa" w:w="2160"/>
          </w:tcPr>
          <w:p>
            <w:r>
              <w:t>M6</w:t>
            </w:r>
          </w:p>
        </w:tc>
        <w:tc>
          <w:tcPr>
            <w:tcW w:type="dxa" w:w="2160"/>
          </w:tcPr>
          <w:p>
            <w:r>
              <w:t>M12</w:t>
            </w:r>
          </w:p>
        </w:tc>
      </w:tr>
      <w:tr>
        <w:tc>
          <w:tcPr>
            <w:tcW w:type="dxa" w:w="2160"/>
          </w:tcPr>
          <w:p>
            <w:r>
              <w:t>Active Clients</w:t>
            </w:r>
          </w:p>
        </w:tc>
        <w:tc>
          <w:tcPr>
            <w:tcW w:type="dxa" w:w="2160"/>
          </w:tcPr>
          <w:p>
            <w:r>
              <w:t>1-2</w:t>
            </w:r>
          </w:p>
        </w:tc>
        <w:tc>
          <w:tcPr>
            <w:tcW w:type="dxa" w:w="2160"/>
          </w:tcPr>
          <w:p>
            <w:r>
              <w:t>3-4</w:t>
            </w:r>
          </w:p>
        </w:tc>
        <w:tc>
          <w:tcPr>
            <w:tcW w:type="dxa" w:w="2160"/>
          </w:tcPr>
          <w:p>
            <w:r>
              <w:t>5-7</w:t>
            </w:r>
          </w:p>
        </w:tc>
      </w:tr>
      <w:tr>
        <w:tc>
          <w:tcPr>
            <w:tcW w:type="dxa" w:w="2160"/>
          </w:tcPr>
          <w:p>
            <w:r>
              <w:t>Monthly Recurring Revenue</w:t>
            </w:r>
          </w:p>
        </w:tc>
        <w:tc>
          <w:tcPr>
            <w:tcW w:type="dxa" w:w="2160"/>
          </w:tcPr>
          <w:p>
            <w:r>
              <w:t>$0</w:t>
            </w:r>
          </w:p>
        </w:tc>
        <w:tc>
          <w:tcPr>
            <w:tcW w:type="dxa" w:w="2160"/>
          </w:tcPr>
          <w:p>
            <w:r>
              <w:t>$3,500</w:t>
            </w:r>
          </w:p>
        </w:tc>
        <w:tc>
          <w:tcPr>
            <w:tcW w:type="dxa" w:w="2160"/>
          </w:tcPr>
          <w:p>
            <w:r>
              <w:t>$7,000</w:t>
            </w:r>
          </w:p>
        </w:tc>
      </w:tr>
      <w:tr>
        <w:tc>
          <w:tcPr>
            <w:tcW w:type="dxa" w:w="2160"/>
          </w:tcPr>
          <w:p>
            <w:r>
              <w:t>Gross Margin</w:t>
            </w:r>
          </w:p>
        </w:tc>
        <w:tc>
          <w:tcPr>
            <w:tcW w:type="dxa" w:w="2160"/>
          </w:tcPr>
          <w:p>
            <w:r>
              <w:t>≥85%</w:t>
            </w:r>
          </w:p>
        </w:tc>
        <w:tc>
          <w:tcPr>
            <w:tcW w:type="dxa" w:w="2160"/>
          </w:tcPr>
          <w:p>
            <w:r>
              <w:t>≥75%</w:t>
            </w:r>
          </w:p>
        </w:tc>
        <w:tc>
          <w:tcPr>
            <w:tcW w:type="dxa" w:w="2160"/>
          </w:tcPr>
          <w:p>
            <w:r>
              <w:t>≥75%</w:t>
            </w:r>
          </w:p>
        </w:tc>
      </w:tr>
      <w:tr>
        <w:tc>
          <w:tcPr>
            <w:tcW w:type="dxa" w:w="2160"/>
          </w:tcPr>
          <w:p>
            <w:r>
              <w:t>Avg Project Value</w:t>
            </w:r>
          </w:p>
        </w:tc>
        <w:tc>
          <w:tcPr>
            <w:tcW w:type="dxa" w:w="2160"/>
          </w:tcPr>
          <w:p>
            <w:r>
              <w:t>$3,500</w:t>
            </w:r>
          </w:p>
        </w:tc>
        <w:tc>
          <w:tcPr>
            <w:tcW w:type="dxa" w:w="2160"/>
          </w:tcPr>
          <w:p>
            <w:r>
              <w:t>$8,000</w:t>
            </w:r>
          </w:p>
        </w:tc>
        <w:tc>
          <w:tcPr>
            <w:tcW w:type="dxa" w:w="2160"/>
          </w:tcPr>
          <w:p>
            <w:r>
              <w:t>$10,000</w:t>
            </w:r>
          </w:p>
        </w:tc>
      </w:tr>
      <w:tr>
        <w:tc>
          <w:tcPr>
            <w:tcW w:type="dxa" w:w="2160"/>
          </w:tcPr>
          <w:p>
            <w:r>
              <w:t>Proposal-to-Close Rate</w:t>
            </w:r>
          </w:p>
        </w:tc>
        <w:tc>
          <w:tcPr>
            <w:tcW w:type="dxa" w:w="2160"/>
          </w:tcPr>
          <w:p>
            <w:r>
              <w:t>≥20%</w:t>
            </w:r>
          </w:p>
        </w:tc>
        <w:tc>
          <w:tcPr>
            <w:tcW w:type="dxa" w:w="2160"/>
          </w:tcPr>
          <w:p>
            <w:r>
              <w:t>≥30%</w:t>
            </w:r>
          </w:p>
        </w:tc>
        <w:tc>
          <w:tcPr>
            <w:tcW w:type="dxa" w:w="2160"/>
          </w:tcPr>
          <w:p>
            <w:r>
              <w:t>≥35%</w:t>
            </w:r>
          </w:p>
        </w:tc>
      </w:tr>
    </w:tbl>
    <w:p/>
    <w:p/>
    <w:p>
      <w:pPr>
        <w:jc w:val="center"/>
      </w:pPr>
      <w:r>
        <w:rPr>
          <w:b/>
          <w:color w:val="1A365D"/>
          <w:sz w:val="28"/>
        </w:rPr>
        <w:t>Zero Drift. Zero Compromise. Built to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