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e2b2e4be8ce94b7e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</w:p>
    <w:p>
      <w:pPr>
        <w:jc w:val="center"/>
      </w:pPr>
      <w:r>
        <w:rPr>
          <w:b/>
          <w:color w:val="1a365d"/>
          <w:sz w:val="72"/>
        </w:rPr>
        <w:t>NoDrftSystems</w:t>
      </w:r>
    </w:p>
    <w:p>
      <w:pPr>
        <w:spacing w:before="400"/>
        <w:jc w:val="center"/>
      </w:pPr>
      <w:r>
        <w:rPr>
          <w:color w:val="2c5282"/>
          <w:sz w:val="36"/>
        </w:rPr>
        <w:t>Master Strategic Alignment Pack</w:t>
      </w:r>
    </w:p>
    <w:p>
      <w:pPr>
        <w:spacing w:before="200"/>
        <w:jc w:val="center"/>
      </w:pPr>
      <w:r>
        <w:rPr>
          <w:color w:val="4a5568"/>
          <w:sz w:val="24"/>
        </w:rPr>
        <w:t>Precision-Engineered Digital Build Systems</w:t>
      </w:r>
    </w:p>
    <w:p>
      <w:pPr>
        <w:spacing w:before="2000"/>
      </w:pPr>
    </w:p>
    <w:p>
      <w:pPr>
        <w:jc w:val="center"/>
      </w:pPr>
      <w:r>
        <w:rPr>
          <w:color w:val="718096"/>
          <w:sz w:val="22"/>
        </w:rPr>
        <w:t>Version 1.0 | April 2026</w:t>
      </w:r>
    </w:p>
    <w:p>
      <w:pPr>
        <w:spacing w:before="200"/>
        <w:jc w:val="center"/>
      </w:pPr>
      <w:r>
        <w:rPr>
          <w:color w:val="718096"/>
          <w:sz w:val="20"/>
        </w:rPr>
        <w:t>Confidential - Board Distribution Only</w:t>
      </w:r>
    </w:p>
    <w:p>
      <w:pPr>
        <w:sectPr>
          <w:type w:val="nextPage"/>
          <w:pgSz w:w="11906" w:h="16838"/>
          <w:pgMar w:top="1440" w:right="1440" w:bottom="1440" w:left="1440"/>
        </w:sectPr>
      </w:pPr>
    </w:p>
    <w:p>
      <w:pPr>
        <w:pStyle w:val="Heading1"/>
      </w:pPr>
      <w:r>
        <w:t>Table of Contents</w:t>
      </w:r>
    </w:p>
    <w:p>
      <w:pPr>
        <w:spacing w:after="300"/>
      </w:pPr>
      <w:r>
        <w:rPr>
          <w:color w:val="718096"/>
          <w:sz w:val="18"/>
        </w:rPr>
        <w:t>Right-click and select "Update Field" to refresh page numbers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Executive Summary</w:t>
      </w:r>
      <w:r>
        <w:tab/>
      </w:r>
      <w:r>
        <w:t>3</w:t>
      </w:r>
    </w:p>
    <w:p>
      <w:pPr>
        <w:pStyle w:val="TOC1"/>
      </w:pPr>
      <w:r>
        <w:t>Vision, Mission &amp; Core Values</w:t>
      </w:r>
      <w:r>
        <w:tab/>
      </w:r>
      <w:r>
        <w:t>4</w:t>
      </w:r>
    </w:p>
    <w:p>
      <w:pPr>
        <w:pStyle w:val="TOC1"/>
      </w:pPr>
      <w:r>
        <w:t>Business Architecture</w:t>
      </w:r>
      <w:r>
        <w:tab/>
      </w:r>
      <w:r>
        <w:t>5</w:t>
      </w:r>
    </w:p>
    <w:p>
      <w:pPr>
        <w:pStyle w:val="TOC2"/>
      </w:pPr>
      <w:r>
        <w:t>Cash Engine</w:t>
      </w:r>
      <w:r>
        <w:tab/>
      </w:r>
      <w:r>
        <w:t>5</w:t>
      </w:r>
    </w:p>
    <w:p>
      <w:pPr>
        <w:pStyle w:val="TOC2"/>
      </w:pPr>
      <w:r>
        <w:t>Expansion Engine</w:t>
      </w:r>
      <w:r>
        <w:tab/>
      </w:r>
      <w:r>
        <w:t>6</w:t>
      </w:r>
    </w:p>
    <w:p>
      <w:pPr>
        <w:pStyle w:val="TOC2"/>
      </w:pPr>
      <w:r>
        <w:t>Asset Engine</w:t>
      </w:r>
      <w:r>
        <w:tab/>
      </w:r>
      <w:r>
        <w:t>6</w:t>
      </w:r>
    </w:p>
    <w:p>
      <w:pPr>
        <w:pStyle w:val="TOC1"/>
      </w:pPr>
      <w:r>
        <w:t>Offer Ladder &amp; Pricing</w:t>
      </w:r>
      <w:r>
        <w:tab/>
      </w:r>
      <w:r>
        <w:t>7</w:t>
      </w:r>
    </w:p>
    <w:p>
      <w:pPr>
        <w:pStyle w:val="TOC1"/>
      </w:pPr>
      <w:r>
        <w:t>Operating Model</w:t>
      </w:r>
      <w:r>
        <w:tab/>
      </w:r>
      <w:r>
        <w:t>9</w:t>
      </w:r>
    </w:p>
    <w:p>
      <w:pPr>
        <w:pStyle w:val="TOC1"/>
      </w:pPr>
      <w:r>
        <w:t>Governance Framework</w:t>
      </w:r>
      <w:r>
        <w:tab/>
      </w:r>
      <w:r>
        <w:t>11</w:t>
      </w:r>
    </w:p>
    <w:p>
      <w:pPr>
        <w:pStyle w:val="TOC1"/>
      </w:pPr>
      <w:r>
        <w:t>Implementation Roadmap</w:t>
      </w:r>
      <w:r>
        <w:tab/>
      </w:r>
      <w:r>
        <w:t>13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NoDrftSystems is a precision-engineered digital build firm that designs and develops modern websites, digital platforms, and business systems for organizations requiring stronger positioning, better conversion, and more disciplined execution.</w:t>
      </w:r>
    </w:p>
    <w:p>
      <w:pPr>
        <w:pStyle w:val="Heading2"/>
      </w:pPr>
      <w:r>
        <w:t>The Centaur Organization Model</w:t>
      </w:r>
    </w:p>
    <w:p>
      <w:r>
        <w:t>We operate as a Centaur Organization-a hybrid entity where human strategic oversight merges with AI-augmented production. Unlike traditional agencies that deploy AI as a peripheral tool, we embed AI agents as core production components with defined roles, tool stacks, and human oversight protocols. This model delivers U.S.-tier engineering quality at 25% of traditional cost structures while maintaining zero drift in output.</w:t>
      </w:r>
    </w:p>
    <w:p>
      <w:pPr>
        <w:pStyle w:val="Heading2"/>
      </w:pPr>
      <w:r>
        <w:t>Structural Arbitrage</w:t>
      </w:r>
    </w:p>
    <w:tbl>
      <w:tblPr>
        <w:tblW w:w="5000" w:type="pct"/>
        <w:tblBorders>
          <w:top w:val="single" w:color="1a365d" w:sz="8"/>
          <w:left w:val="nil"/>
          <w:bottom w:val="single" w:color="1a365d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Component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Configuration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Monthly Cost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Colombian Talent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Mid-to-senior level developers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$750 - $1,250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AI Agent Stack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10 specialized production agents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$940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Combined Output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Human-AI pod productivity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$4,000+ equivalent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Target Gross Margin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Validated by AI labor reduction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75%+</w:t>
            </w:r>
          </w:p>
        </w:tc>
      </w:tr>
    </w:tbl>
    <w:p>
      <w:pPr>
        <w:pStyle w:val="Heading2"/>
      </w:pPr>
      <w:r>
        <w:t>Strategic Positioning</w:t>
      </w:r>
    </w:p>
    <w:p>
      <w:r>
        <w:t>The public website presents NoDrftSystems as a serious digital build firm combining strategic clarity, premium execution, and structured delivery. Our message is grounded in what buyers need to understand in under one minute: clarity before build, structured packages, plain-language scope explanations, seriousness and discretion, controlled proof, and the ability to scale into complex systems when appropriate.</w:t>
      </w:r>
    </w:p>
    <w:p>
      <w:r>
        <w:br w:type="page"/>
      </w:r>
    </w:p>
    <w:p>
      <w:pPr>
        <w:pStyle w:val="Heading1"/>
      </w:pPr>
      <w:r>
        <w:t>Vision, Mission &amp; Core Values</w:t>
      </w:r>
    </w:p>
    <w:p>
      <w:pPr>
        <w:pStyle w:val="Heading2"/>
      </w:pPr>
      <w:r>
        <w:t>Public Vision</w:t>
      </w:r>
    </w:p>
    <w:p>
      <w:pPr>
        <w:shd w:val="clear" w:fill="f7fafc"/>
        <w:ind w:left="360" w:right="360"/>
      </w:pPr>
      <w:r>
        <w:rPr>
          <w:i/>
          <w:color w:val="2c5282"/>
        </w:rPr>
        <w:t>A precision digital build firm delivering modern websites, digital platforms, and business systems through structured scope, controlled delivery, and validated release-so what ships stays correct after handoff.</w:t>
      </w:r>
    </w:p>
    <w:p>
      <w:pPr>
        <w:pStyle w:val="Heading2"/>
      </w:pPr>
      <w:r>
        <w:t>Public Mission</w:t>
      </w:r>
    </w:p>
    <w:p>
      <w:pPr>
        <w:shd w:val="clear" w:fill="f7fafc"/>
        <w:ind w:left="360" w:right="360"/>
      </w:pPr>
      <w:r>
        <w:rPr>
          <w:i/>
          <w:color w:val="2c5282"/>
        </w:rPr>
        <w:t>Build buyer-ready websites and platforms with clear inclusions/exclusions, disciplined execution, and a quality standard designed to reduce drift, confusion, and wasted motion after launch.</w:t>
      </w:r>
    </w:p>
    <w:p>
      <w:pPr>
        <w:pStyle w:val="Heading2"/>
      </w:pPr>
      <w:r>
        <w:t>Internal Vision</w:t>
      </w:r>
    </w:p>
    <w:p>
      <w:pPr>
        <w:shd w:val="clear" w:fill="fffaf0"/>
        <w:ind w:left="360" w:right="360"/>
      </w:pPr>
      <w:r>
        <w:rPr>
          <w:i/>
          <w:color w:val="c05621"/>
        </w:rPr>
        <w:t>Build a durable precision-engineering company whose near-term growth is driven by repeatable website/digital-build packages, whose expansion engine supports higher-complexity platform and system work, and whose asset engine compounds via governed process IP.</w:t>
      </w:r>
    </w:p>
    <w:p>
      <w:pPr>
        <w:pStyle w:val="Heading2"/>
      </w:pPr>
      <w:r>
        <w:t>Internal Mission</w:t>
      </w:r>
    </w:p>
    <w:p>
      <w:pPr>
        <w:shd w:val="clear" w:fill="fffaf0"/>
        <w:ind w:left="360" w:right="360"/>
      </w:pPr>
      <w:r>
        <w:rPr>
          <w:i/>
          <w:color w:val="c05621"/>
        </w:rPr>
        <w:t>Operate a human-led, AI-augmented delivery system that turns clarity into execution with bounded scope, multi-pass review, bilingual parity, privacy/disclosure discipline, controlled proof posture, and fail-closed release gates.</w:t>
      </w:r>
    </w:p>
    <w:p>
      <w:pPr>
        <w:pStyle w:val="Heading2"/>
      </w:pPr>
      <w:r>
        <w:t>Core Values</w:t>
      </w:r>
    </w:p>
    <w:tbl>
      <w:tblPr>
        <w:tblW w:w="5000" w:type="pct"/>
        <w:tblBorders>
          <w:top w:val="single" w:color="1a365d" w:sz="8"/>
          <w:left w:val="nil"/>
          <w:bottom w:val="single" w:color="1a365d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Value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Definition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Zero Drift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Every output is intentional, accurate, and aligned with client objectives. No hallucination. No scope creep.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Human + AI Synergy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The speed and scale of AI combined with the judgment and creativity of humans. Neither replaced; both amplified.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Transparent Value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Clients always understand what they're getting, why it costs what it costs, and how it drives ROI.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Security &amp; IP Integrity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Enterprise-grade protection for data, code provenance, and intellectual property.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Risk-Asymmetry Awareness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We price for uncertainty, qualify for fit, and maintain kill switches to protect margin and morale.</w:t>
            </w:r>
          </w:p>
        </w:tc>
      </w:tr>
    </w:tbl>
    <w:p>
      <w:r>
        <w:br w:type="page"/>
      </w:r>
    </w:p>
    <w:p>
      <w:pPr>
        <w:pStyle w:val="Heading1"/>
      </w:pPr>
      <w:r>
        <w:t>Business Architecture</w:t>
      </w:r>
    </w:p>
    <w:p>
      <w:r>
        <w:t>NoDrftSystems operates on a three-engine business model that converts positioning and governance requirements into an investor-legible architecture. Each engine serves a distinct purpose in the company's growth trajectory.</w:t>
      </w:r>
    </w:p>
    <w:p>
      <w:pPr>
        <w:pStyle w:val="Heading2"/>
      </w:pPr>
      <w:r>
        <w:t>Cash Engine (Now)</w:t>
      </w:r>
    </w:p>
    <w:p>
      <w:r>
        <w:t>The cash engine consists of structured website and digital-build packages with controlled pricing presentation, explicit inclusions/exclusions, and disciplined qualification. This is what buyers can purchase today and what drives immediate revenue.</w:t>
      </w:r>
    </w:p>
    <w:p>
      <w:pPr>
        <w:pStyle w:val="Heading3"/>
      </w:pPr>
      <w:r>
        <w:t>Current Sellable Offers</w:t>
      </w:r>
    </w:p>
    <w:tbl>
      <w:tblPr>
        <w:tblW w:w="5000" w:type="pct"/>
        <w:tblBorders>
          <w:top w:val="single" w:color="1a365d" w:sz="8"/>
          <w:left w:val="nil"/>
          <w:bottom w:val="single" w:color="1a365d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Package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Purpose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Price Status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Discovery Sprint / Project Clarity Sprint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Clarify scope before build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$2,000 (LOCKED)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Conversion Landing Page Sprint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Focused page for conversion</w:t>
            </w:r>
          </w:p>
        </w:tc>
        <w:tc>
          <w:tcPr>
            <w:vAlign w:val="center"/>
          </w:tcPr>
          <w:p>
            <w:r>
              <w:t>from $2,500 (LOCKED)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Launch Site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Small business website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Requires founder approval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Authority Website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Trust site for established orgs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Requires founder approval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Platform Starter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Advanced workflows/integrations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Requires founder approval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Ecosystem Build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Multi-surface system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Requires founder approval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Retainers (3 tiers)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Ongoing support/optimization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Requires founder approval</w:t>
            </w:r>
          </w:p>
        </w:tc>
      </w:tr>
    </w:tbl>
    <w:p>
      <w:pPr>
        <w:pStyle w:val="Heading2"/>
      </w:pPr>
      <w:r>
        <w:t>Expansion Engine (Next)</w:t>
      </w:r>
    </w:p>
    <w:p>
      <w:r>
        <w:t>The expansion engine encompasses platform/system work and broader ecosystems positioned as an upper-tier progression, not the dominant entry message. This includes complex integrations, custom applications, and multi-surface digital ecosystems for clients who have outgrown standard packages.</w:t>
      </w:r>
    </w:p>
    <w:p>
      <w:pPr>
        <w:pStyle w:val="Heading2"/>
      </w:pPr>
      <w:r>
        <w:t>Asset Engine (Moat)</w:t>
      </w:r>
    </w:p>
    <w:p>
      <w:r>
        <w:t>The asset engine consists of governed operating system artifacts that compound over time: package briefs, copy modules, glossary (buyer-safe technical explanations), QA checklists, review passes, completion reports, and release gates. These are internally documented and externally framed as standards-not disclosed as proprietary methods.</w:t>
      </w:r>
    </w:p>
    <w:p>
      <w:pPr>
        <w:pStyle w:val="Heading3"/>
      </w:pPr>
      <w:r>
        <w:t>Scope Taxonomy</w:t>
      </w:r>
    </w:p>
    <w:tbl>
      <w:tblPr>
        <w:tblW w:w="5000" w:type="pct"/>
        <w:tblBorders>
          <w:top w:val="single" w:color="1a365d" w:sz="8"/>
          <w:left w:val="nil"/>
          <w:bottom w:val="single" w:color="1a365d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Scope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Definition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Visibility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Scope A - Current Offers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Package ladder (primary public offer)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Public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Scope B - Expanded Capabilities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Broader software/systems capability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Credibility + progression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Scope C - Internal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Internal-first products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Separate from client proof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Scope D - Operating System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Internal moat (process IP)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Not publicly disclosed</w:t>
            </w:r>
          </w:p>
        </w:tc>
      </w:tr>
    </w:tbl>
    <w:p>
      <w:r>
        <w:br w:type="page"/>
      </w:r>
    </w:p>
    <w:p>
      <w:pPr>
        <w:pStyle w:val="Heading1"/>
      </w:pPr>
      <w:r>
        <w:t>Offer Ladder &amp; Pricing</w:t>
      </w:r>
    </w:p>
    <w:p>
      <w:r>
        <w:t>The website uses a package ladder that helps buyers self-identify by scope, urgency, and business objective. Prices are shown only where explicitly verified and approved.</w:t>
      </w:r>
    </w:p>
    <w:p>
      <w:pPr>
        <w:pStyle w:val="Heading2"/>
      </w:pPr>
      <w:r>
        <w:t>Package Integrity Rules</w:t>
      </w:r>
    </w:p>
    <w:p>
      <w:pPr>
        <w:numPr>
          <w:ilvl w:val="0"/>
          <w:numId w:val="1"/>
        </w:numPr>
      </w:pPr>
      <w:r>
        <w:t>Each package must answer: what it is, who it is for, what is included, what is excluded, and what happens next.</w:t>
      </w:r>
    </w:p>
    <w:p>
      <w:pPr>
        <w:numPr>
          <w:ilvl w:val="0"/>
          <w:numId w:val="1"/>
        </w:numPr>
      </w:pPr>
      <w:r>
        <w:t>Package names remain stable once approved so pricing, sales, copy, and implementation stay aligned.</w:t>
      </w:r>
    </w:p>
    <w:p>
      <w:pPr>
        <w:numPr>
          <w:ilvl w:val="0"/>
          <w:numId w:val="1"/>
        </w:numPr>
      </w:pPr>
      <w:r>
        <w:t>Use 'from' only where variability is real and expected. Fixed packages are presented as fixed.</w:t>
      </w:r>
    </w:p>
    <w:p>
      <w:pPr>
        <w:numPr>
          <w:ilvl w:val="0"/>
          <w:numId w:val="1"/>
        </w:numPr>
      </w:pPr>
      <w:r>
        <w:t>Lower-tier offers do not quietly absorb custom CMS, full bilingual delivery, or complex integrations by default.</w:t>
      </w:r>
    </w:p>
    <w:p>
      <w:pPr>
        <w:numPr>
          <w:ilvl w:val="0"/>
          <w:numId w:val="1"/>
        </w:numPr>
      </w:pPr>
      <w:r>
        <w:t>Every package includes a clear upgrade path so buyers can see the next logical step.</w:t>
      </w:r>
    </w:p>
    <w:p>
      <w:pPr>
        <w:pStyle w:val="Heading2"/>
      </w:pPr>
      <w:r>
        <w:t>Pricing Lock Status</w:t>
      </w:r>
    </w:p>
    <w:tbl>
      <w:tblPr>
        <w:tblW w:w="5000" w:type="pct"/>
        <w:tblBorders>
          <w:top w:val="single" w:color="1a365d" w:sz="8"/>
          <w:left w:val="nil"/>
          <w:bottom w:val="single" w:color="1a365d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Package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Price Line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Discovery Sprint / Project Clarity Sprint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$2,000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LOCKED (Verified)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Conversion Landing Page Sprint</w:t>
            </w:r>
          </w:p>
        </w:tc>
        <w:tc>
          <w:tcPr>
            <w:vAlign w:val="center"/>
          </w:tcPr>
          <w:p>
            <w:r>
              <w:t>from $2,500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LOCKED (Verified)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Launch Site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from $3,500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NEEDS FOUNDER APPROVAL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Authority Website</w:t>
            </w:r>
          </w:p>
        </w:tc>
        <w:tc>
          <w:tcPr>
            <w:vAlign w:val="center"/>
          </w:tcPr>
          <w:p>
            <w:r>
              <w:t>from $8,500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NEEDS FOUNDER APPROVAL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Platform Starter</w:t>
            </w:r>
          </w:p>
        </w:tc>
        <w:tc>
          <w:tcPr>
            <w:vAlign w:val="center"/>
          </w:tcPr>
          <w:p>
            <w:r>
              <w:t>from $15,000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NEEDS FOUNDER APPROVAL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Ecosystem Build</w:t>
            </w:r>
          </w:p>
        </w:tc>
        <w:tc>
          <w:tcPr>
            <w:vAlign w:val="center"/>
          </w:tcPr>
          <w:p>
            <w:r>
              <w:t>from $27,500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NEEDS FOUNDER APPROVAL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Retainer - Essential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$495/month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NEEDS FOUNDER APPROVAL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Retainer - Growth</w:t>
            </w:r>
          </w:p>
        </w:tc>
        <w:tc>
          <w:tcPr>
            <w:vAlign w:val="center"/>
          </w:tcPr>
          <w:p>
            <w:r>
              <w:t>$1,500/month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NEEDS FOUNDER APPROVAL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Retainer - Scale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$3,500/month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NEEDS FOUNDER APPROVAL</w:t>
            </w:r>
          </w:p>
        </w:tc>
      </w:tr>
    </w:tbl>
    <w:p>
      <w:pPr>
        <w:pStyle w:val="Heading2"/>
      </w:pPr>
      <w:r>
        <w:t>Package Card Content Model</w:t>
      </w:r>
    </w:p>
    <w:p>
      <w:r>
        <w:t>Every package card must include the following elements:</w:t>
      </w:r>
    </w:p>
    <w:tbl>
      <w:tblPr>
        <w:tblW w:w="5000" w:type="pct"/>
        <w:tblBorders>
          <w:top w:val="single" w:color="1a365d" w:sz="8"/>
          <w:left w:val="nil"/>
          <w:bottom w:val="single" w:color="1a365d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Element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Required Standard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Package Name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Use approved public name only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Best For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Describe buyer and business problem in one line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What Is Included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3-5 clear inclusions in plain language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What Is Not Included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Prevent hidden scope assumptions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Timeline Posture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Simple timing language where approved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Price Line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Fixed price or 'from' price only if approved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Next Step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CTA to Start an Engagement or Discovery Sprint</w:t>
            </w:r>
          </w:p>
        </w:tc>
      </w:tr>
    </w:tbl>
    <w:p>
      <w:r>
        <w:br w:type="page"/>
      </w:r>
    </w:p>
    <w:p>
      <w:pPr>
        <w:pStyle w:val="Heading1"/>
      </w:pPr>
      <w:r>
        <w:t>Operating Model</w:t>
      </w:r>
    </w:p>
    <w:p>
      <w:r>
        <w:t>NoDrftSystems operates as a human-led structure with AI-augmented production and review. The public website does not imply an autonomous black box.</w:t>
      </w:r>
    </w:p>
    <w:p>
      <w:pPr>
        <w:pStyle w:val="Heading2"/>
      </w:pPr>
      <w:r>
        <w:t>Core Team Structure</w:t>
      </w:r>
    </w:p>
    <w:tbl>
      <w:tblPr>
        <w:tblW w:w="5000" w:type="pct"/>
        <w:tblBorders>
          <w:top w:val="single" w:color="1a365d" w:sz="8"/>
          <w:left w:val="nil"/>
          <w:bottom w:val="single" w:color="1a365d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Role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Accountability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AI Augmentation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Founder / Strategic Director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Positioning, package strategy, pricing exceptions, client acceptance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Oversees all agents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AI Reliability Engineer (ARE)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Anti-drift review, implementation verification, release readiness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SEA, QDA, QADM, SCA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Growth / Qualification Lead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Inquiry triage, fit discipline, proposal flow, package-fit routing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SDA, OOA, CEA, TSA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UX / Content Lead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Copy clarity, package language, hierarchy, plain-language translation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CEA support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Implementation Lead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Front-end build quality, reusable components, package architecture alignment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SEA, v0</w:t>
            </w:r>
          </w:p>
        </w:tc>
      </w:tr>
    </w:tbl>
    <w:p>
      <w:pPr>
        <w:pStyle w:val="Heading2"/>
      </w:pPr>
      <w:r>
        <w:t>Specialist Bench</w:t>
      </w:r>
    </w:p>
    <w:p>
      <w:r>
        <w:t>A controlled specialist bench adds bounded expertise without losing quality control or commercial discipline. Specialists are used for:</w:t>
      </w:r>
    </w:p>
    <w:p>
      <w:pPr>
        <w:numPr>
          <w:ilvl w:val="0"/>
          <w:numId w:val="1"/>
        </w:numPr>
      </w:pPr>
      <w:r>
        <w:t>Design direction and advanced front-end work</w:t>
      </w:r>
    </w:p>
    <w:p>
      <w:pPr>
        <w:numPr>
          <w:ilvl w:val="0"/>
          <w:numId w:val="1"/>
        </w:numPr>
      </w:pPr>
      <w:r>
        <w:t>Complex integrations and API development</w:t>
      </w:r>
    </w:p>
    <w:p>
      <w:pPr>
        <w:numPr>
          <w:ilvl w:val="0"/>
          <w:numId w:val="1"/>
        </w:numPr>
      </w:pPr>
      <w:r>
        <w:t>Localization/transcreation (English/Spanish parity)</w:t>
      </w:r>
    </w:p>
    <w:p>
      <w:pPr>
        <w:numPr>
          <w:ilvl w:val="0"/>
          <w:numId w:val="1"/>
        </w:numPr>
      </w:pPr>
      <w:r>
        <w:t>Privacy/legal review</w:t>
      </w:r>
    </w:p>
    <w:p>
      <w:pPr>
        <w:numPr>
          <w:ilvl w:val="0"/>
          <w:numId w:val="1"/>
        </w:numPr>
      </w:pPr>
      <w:r>
        <w:t>Accessibility review and WCAG compliance</w:t>
      </w:r>
    </w:p>
    <w:p>
      <w:pPr>
        <w:numPr>
          <w:ilvl w:val="0"/>
          <w:numId w:val="1"/>
        </w:numPr>
      </w:pPr>
      <w:r>
        <w:t>SEO implementation and analytics setup</w:t>
      </w:r>
    </w:p>
    <w:p>
      <w:pPr>
        <w:pStyle w:val="Heading2"/>
      </w:pPr>
      <w:r>
        <w:t>AI Agent Staff (10 Specialized Agents)</w:t>
      </w:r>
    </w:p>
    <w:tbl>
      <w:tblPr>
        <w:tblW w:w="5000" w:type="pct"/>
        <w:tblBorders>
          <w:top w:val="single" w:color="1a365d" w:sz="8"/>
          <w:left w:val="nil"/>
          <w:bottom w:val="single" w:color="1a365d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Agent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Function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Monthly Cost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SDA (Sales Development)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ICP research, lead enrichment, qualification scoring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$150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OOA (Outreach Orchestration)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Personalized email sequences, send-time optimization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$100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CEA (Content Engine)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SEO blog posts, case studies, LinkedIn content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$200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PMA (Product Manager)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Requirements grooming, spec generation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$50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SEA (Software Engineer)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Code scaffolding, component generation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$100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QDA (QA/Documentation)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Test generation, technical documentation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$30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IPGA (IP Guardian)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Copyright scanning, plagiarism detection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$80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SCA (Security/Compliance)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SBOM generation, CVE scanning, GDPR checks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$120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TSA (Trend Surveillance)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Competitive intel, regulatory monitoring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$60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QADM (QA Drift Monitor)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AI output quality tracking, regression testing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$50</w:t>
            </w:r>
          </w:p>
        </w:tc>
      </w:tr>
    </w:tbl>
    <w:p>
      <w:pPr>
        <w:spacing w:before="200"/>
      </w:pPr>
      <w:r>
        <w:rPr>
          <w:b/>
        </w:rPr>
        <w:t>Total AI Staff Cost: </w:t>
      </w:r>
      <w:r>
        <w:t>$940/month ($11,280/year)</w:t>
      </w:r>
    </w:p>
    <w:p>
      <w:r>
        <w:br w:type="page"/>
      </w:r>
    </w:p>
    <w:p>
      <w:pPr>
        <w:pStyle w:val="Heading1"/>
      </w:pPr>
      <w:r>
        <w:t>Governance Framework</w:t>
      </w:r>
    </w:p>
    <w:p>
      <w:pPr>
        <w:pStyle w:val="Heading2"/>
      </w:pPr>
      <w:r>
        <w:t>Core Authority Rules</w:t>
      </w:r>
    </w:p>
    <w:tbl>
      <w:tblPr>
        <w:tblW w:w="5000" w:type="pct"/>
        <w:tblBorders>
          <w:top w:val="single" w:color="1a365d" w:sz="8"/>
          <w:left w:val="nil"/>
          <w:bottom w:val="single" w:color="1a365d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Decision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Required Sign-off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Rationale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Public pricing publication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Founder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Final pricing requires founder approval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Public proof / Selected Engagements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Founder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Proof posture is a founder decision gate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Final website release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Human sign-off (Founder + ARE)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Production requires human validation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Privacy/disclosure wording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Privacy/Disclosure QA + Founder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Must match approved source text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EN/ES parity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Localization QA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English/Spanish parity required</w:t>
            </w:r>
          </w:p>
        </w:tc>
      </w:tr>
    </w:tbl>
    <w:p>
      <w:pPr>
        <w:pStyle w:val="Heading2"/>
      </w:pPr>
      <w:r>
        <w:t>Multi-Pass QA Framework</w:t>
      </w:r>
    </w:p>
    <w:p>
      <w:r>
        <w:t>Every release requires the following review passes:</w:t>
      </w:r>
    </w:p>
    <w:tbl>
      <w:tblPr>
        <w:tblW w:w="5000" w:type="pct"/>
        <w:tblBorders>
          <w:top w:val="single" w:color="1a365d" w:sz="8"/>
          <w:left w:val="nil"/>
          <w:bottom w:val="single" w:color="1a365d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Review Pass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Purpose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Package Integrity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Ladder matches commercial offer; inclusion/exclusion frames present; upgrade logic shown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Plain Language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No acronyms dropped cold; glossary covers key terms; buyer-safe explanations on-page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Pricing Safety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Only approved figures; exclusions visible; no bait pricing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Public-Proof Safety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Controlled snapshots; confidentiality safe; no client names unless approved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Bilingual Parity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Meaning, tone, CTA strength parity; transcreation where needed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Accessibility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Headings, labels, forms, usability (WCAG 2.2 baseline)</w:t>
            </w:r>
          </w:p>
        </w:tc>
      </w:tr>
    </w:tbl>
    <w:p>
      <w:pPr>
        <w:pStyle w:val="Heading2"/>
      </w:pPr>
      <w:r>
        <w:t>Disclosure &amp; Privacy Rules</w:t>
      </w:r>
    </w:p>
    <w:p>
      <w:pPr>
        <w:numPr>
          <w:ilvl w:val="0"/>
          <w:numId w:val="1"/>
        </w:numPr>
      </w:pPr>
      <w:r>
        <w:t>The public site must not disclose proprietary tools, prompt systems, internal workflows, private methods, or confidential client implementation detail.</w:t>
      </w:r>
    </w:p>
    <w:p>
      <w:pPr>
        <w:numPr>
          <w:ilvl w:val="0"/>
          <w:numId w:val="1"/>
        </w:numPr>
      </w:pPr>
      <w:r>
        <w:t>English/Spanish parity remains required; transcreation preferred over literal translation where tone and conversion strength matter.</w:t>
      </w:r>
    </w:p>
    <w:p>
      <w:pPr>
        <w:numPr>
          <w:ilvl w:val="0"/>
          <w:numId w:val="1"/>
        </w:numPr>
      </w:pPr>
      <w:r>
        <w:t>Workflow-specific privacy notices must be tied to each form (Start an Engagement, Inquiries, Careers).</w:t>
      </w:r>
    </w:p>
    <w:p>
      <w:pPr>
        <w:pStyle w:val="Heading2"/>
      </w:pPr>
      <w:r>
        <w:t>Fail-Closed Release Gates</w:t>
      </w:r>
    </w:p>
    <w:tbl>
      <w:tblPr>
        <w:tblW w:w="5000" w:type="pct"/>
        <w:tblBorders>
          <w:top w:val="single" w:color="1a365d" w:sz="8"/>
          <w:left w:val="nil"/>
          <w:bottom w:val="single" w:color="1a365d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Gate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Question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Proceed Only If...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Strategic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Does this match the business objective?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Brief is satisfied without scope drift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Factual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Are claims verified or clearly labeled?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Unsupported claims removed or flagged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Operational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Can the output be used immediately?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Required fields, files, instructions complete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Disclosure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Does it protect confidentiality and IP?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No prohibited internals exposed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Consistency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Is it coherent across sections and locales?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Terminology, hierarchy, logic all match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Testing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Was it validated against defined targets?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Relevant checks run and logged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Human Sign-off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Is human approval required?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ARE or designated reviewer has approved</w:t>
            </w:r>
          </w:p>
        </w:tc>
      </w:tr>
    </w:tbl>
    <w:p>
      <w:r>
        <w:br w:type="page"/>
      </w:r>
    </w:p>
    <w:p>
      <w:pPr>
        <w:pStyle w:val="Heading1"/>
      </w:pPr>
      <w:r>
        <w:t>Implementation Roadmap</w:t>
      </w:r>
    </w:p>
    <w:p>
      <w:pPr>
        <w:pStyle w:val="Heading2"/>
      </w:pPr>
      <w:r>
        <w:t>Phase 0: Pre-Launch (Weeks 1-2)</w:t>
      </w:r>
    </w:p>
    <w:p>
      <w:pPr>
        <w:numPr>
          <w:ilvl w:val="0"/>
          <w:numId w:val="1"/>
        </w:numPr>
      </w:pPr>
      <w:r>
        <w:t>S.A.S. formation completed; Wyoming LLC + EIN + Mercury account opened</w:t>
      </w:r>
    </w:p>
    <w:p>
      <w:pPr>
        <w:numPr>
          <w:ilvl w:val="0"/>
          <w:numId w:val="1"/>
        </w:numPr>
      </w:pPr>
      <w:r>
        <w:t>AI agent stack configured (all 10 agents operational)</w:t>
      </w:r>
    </w:p>
    <w:p>
      <w:pPr>
        <w:numPr>
          <w:ilvl w:val="0"/>
          <w:numId w:val="1"/>
        </w:numPr>
      </w:pPr>
      <w:r>
        <w:t>AI Sovereignty Protocol active (Llama 3 70B on EC2, prompt portability tested)</w:t>
      </w:r>
    </w:p>
    <w:p>
      <w:pPr>
        <w:numPr>
          <w:ilvl w:val="0"/>
          <w:numId w:val="1"/>
        </w:numPr>
      </w:pPr>
      <w:r>
        <w:t>ARE hired (COP 4.5M/month, 3-month contract) with Partnership Track docs signed</w:t>
      </w:r>
    </w:p>
    <w:p>
      <w:pPr>
        <w:numPr>
          <w:ilvl w:val="0"/>
          <w:numId w:val="1"/>
        </w:numPr>
      </w:pPr>
      <w:r>
        <w:t>Client Evaluation Scorecard and Pre-Engagement Questionnaire finalized</w:t>
      </w:r>
    </w:p>
    <w:p>
      <w:pPr>
        <w:numPr>
          <w:ilvl w:val="0"/>
          <w:numId w:val="1"/>
        </w:numPr>
      </w:pPr>
      <w:r>
        <w:t>MSA updated with AI Liability Cap and Kill Switch clauses</w:t>
      </w:r>
    </w:p>
    <w:p>
      <w:pPr>
        <w:numPr>
          <w:ilvl w:val="0"/>
          <w:numId w:val="1"/>
        </w:numPr>
      </w:pPr>
      <w:r>
        <w:t>E&amp;O Insurance quotes obtained and bound</w:t>
      </w:r>
    </w:p>
    <w:p>
      <w:pPr>
        <w:numPr>
          <w:ilvl w:val="0"/>
          <w:numId w:val="1"/>
        </w:numPr>
      </w:pPr>
      <w:r>
        <w:t>nodriftsystems.com deployed</w:t>
      </w:r>
    </w:p>
    <w:p>
      <w:pPr>
        <w:shd w:val="clear" w:fill="fed7d7"/>
        <w:ind w:left="360" w:right="360"/>
      </w:pPr>
      <w:r>
        <w:rPr>
          <w:b/>
          <w:color w:val="c53030"/>
        </w:rPr>
        <w:t>GATE: Do not proceed until AI agents are tested, ARE validates first output, and risk management docs are signed.</w:t>
      </w:r>
    </w:p>
    <w:p>
      <w:pPr>
        <w:pStyle w:val="Heading2"/>
      </w:pPr>
      <w:r>
        <w:t>Phase 1: Lead Engine Live (Weeks 3-8)</w:t>
      </w:r>
    </w:p>
    <w:p>
      <w:pPr>
        <w:numPr>
          <w:ilvl w:val="0"/>
          <w:numId w:val="1"/>
        </w:numPr>
      </w:pPr>
      <w:r>
        <w:t>Apollo.io database built (1,000 ICP contacts)</w:t>
      </w:r>
    </w:p>
    <w:p>
      <w:pPr>
        <w:numPr>
          <w:ilvl w:val="0"/>
          <w:numId w:val="1"/>
        </w:numPr>
      </w:pPr>
      <w:r>
        <w:t>Outreach sequences deployed (SDA + OOA active)</w:t>
      </w:r>
    </w:p>
    <w:p>
      <w:pPr>
        <w:numPr>
          <w:ilvl w:val="0"/>
          <w:numId w:val="1"/>
        </w:numPr>
      </w:pPr>
      <w:r>
        <w:t>LinkedIn content calendar activated (CEA buffer generated)</w:t>
      </w:r>
    </w:p>
    <w:p>
      <w:pPr>
        <w:numPr>
          <w:ilvl w:val="0"/>
          <w:numId w:val="1"/>
        </w:numPr>
      </w:pPr>
      <w:r>
        <w:t>First 500 outreach emails sent</w:t>
      </w:r>
    </w:p>
    <w:p>
      <w:pPr>
        <w:numPr>
          <w:ilvl w:val="0"/>
          <w:numId w:val="1"/>
        </w:numPr>
      </w:pPr>
      <w:r>
        <w:t>Growth Lead onboarded (commission-only Month 1)</w:t>
      </w:r>
    </w:p>
    <w:p>
      <w:pPr>
        <w:numPr>
          <w:ilvl w:val="0"/>
          <w:numId w:val="1"/>
        </w:numPr>
      </w:pPr>
      <w:r>
        <w:t>Discovery call pipeline: Target 5 calls/week by Week 6</w:t>
      </w:r>
    </w:p>
    <w:p>
      <w:pPr>
        <w:shd w:val="clear" w:fill="fed7d7"/>
        <w:ind w:left="360" w:right="360"/>
      </w:pPr>
      <w:r>
        <w:rPr>
          <w:b/>
          <w:color w:val="c53030"/>
        </w:rPr>
        <w:t>GATE: Do not advance until first signed contract ($3,500+) and 40% deposit received.</w:t>
      </w:r>
    </w:p>
    <w:p>
      <w:pPr>
        <w:pStyle w:val="Heading2"/>
      </w:pPr>
      <w:r>
        <w:t>Phase 2: Revenue Validation (Months 2-4)</w:t>
      </w:r>
    </w:p>
    <w:p>
      <w:pPr>
        <w:numPr>
          <w:ilvl w:val="0"/>
          <w:numId w:val="1"/>
        </w:numPr>
      </w:pPr>
      <w:r>
        <w:t>First project delivered (ARE + SEA + QDA) with Context-First DoD</w:t>
      </w:r>
    </w:p>
    <w:p>
      <w:pPr>
        <w:numPr>
          <w:ilvl w:val="0"/>
          <w:numId w:val="1"/>
        </w:numPr>
      </w:pPr>
      <w:r>
        <w:t>Proposal template finalized with Risk Pricing Matrix</w:t>
      </w:r>
    </w:p>
    <w:p>
      <w:pPr>
        <w:numPr>
          <w:ilvl w:val="0"/>
          <w:numId w:val="1"/>
        </w:numPr>
      </w:pPr>
      <w:r>
        <w:t>Growth Lead base salary activates (Month 2)</w:t>
      </w:r>
    </w:p>
    <w:p>
      <w:pPr>
        <w:numPr>
          <w:ilvl w:val="0"/>
          <w:numId w:val="1"/>
        </w:numPr>
      </w:pPr>
      <w:r>
        <w:t>First retainer conversion attempt at project close</w:t>
      </w:r>
    </w:p>
    <w:p>
      <w:pPr>
        <w:numPr>
          <w:ilvl w:val="0"/>
          <w:numId w:val="1"/>
        </w:numPr>
      </w:pPr>
      <w:r>
        <w:t>Contractor network activated (designer + backend on-call)</w:t>
      </w:r>
    </w:p>
    <w:p>
      <w:pPr>
        <w:spacing w:before="200"/>
      </w:pPr>
      <w:r>
        <w:rPr>
          <w:b/>
        </w:rPr>
        <w:t>Target: </w:t>
      </w:r>
      <w:r>
        <w:t>2-3 closed projects + 1 active retainer by end of Month 4</w:t>
      </w:r>
    </w:p>
    <w:p>
      <w:pPr>
        <w:pStyle w:val="Heading2"/>
      </w:pPr>
      <w:r>
        <w:t>Phase 3: Centaur Pod Scaling (Months 5-12)</w:t>
      </w:r>
    </w:p>
    <w:p>
      <w:pPr>
        <w:numPr>
          <w:ilvl w:val="0"/>
          <w:numId w:val="1"/>
        </w:numPr>
      </w:pPr>
      <w:r>
        <w:t>ARE manages 2+ concurrent projects with AI support</w:t>
      </w:r>
    </w:p>
    <w:p>
      <w:pPr>
        <w:numPr>
          <w:ilvl w:val="0"/>
          <w:numId w:val="1"/>
        </w:numPr>
      </w:pPr>
      <w:r>
        <w:t>Junior Validator hired (Month 6)</w:t>
      </w:r>
    </w:p>
    <w:p>
      <w:pPr>
        <w:numPr>
          <w:ilvl w:val="0"/>
          <w:numId w:val="1"/>
        </w:numPr>
      </w:pPr>
      <w:r>
        <w:t>Second human hire when MRR &gt;$8,000</w:t>
      </w:r>
    </w:p>
    <w:p>
      <w:pPr>
        <w:numPr>
          <w:ilvl w:val="0"/>
          <w:numId w:val="1"/>
        </w:numPr>
      </w:pPr>
      <w:r>
        <w:t>First proprietary SaaS pilot (CasaClara white-label)</w:t>
      </w:r>
    </w:p>
    <w:p>
      <w:pPr>
        <w:numPr>
          <w:ilvl w:val="0"/>
          <w:numId w:val="1"/>
        </w:numPr>
      </w:pPr>
      <w:r>
        <w:t>Referral program launched (10% commission)</w:t>
      </w:r>
    </w:p>
    <w:p>
      <w:pPr>
        <w:numPr>
          <w:ilvl w:val="0"/>
          <w:numId w:val="1"/>
        </w:numPr>
      </w:pPr>
      <w:r>
        <w:t>Agency partnership deals (50/50 split)</w:t>
      </w:r>
    </w:p>
    <w:p>
      <w:pPr>
        <w:numPr>
          <w:ilvl w:val="0"/>
          <w:numId w:val="1"/>
        </w:numPr>
      </w:pPr>
      <w:r>
        <w:t>SOC 2 Type I audit initiated</w:t>
      </w:r>
    </w:p>
    <w:p>
      <w:pPr>
        <w:spacing w:before="200"/>
      </w:pPr>
      <w:r>
        <w:rPr>
          <w:b/>
        </w:rPr>
        <w:t>Year 1 Revenue Target: </w:t>
      </w:r>
      <w:r>
        <w:t>$128,000 (Base) to $240,000 (Bull)</w:t>
      </w:r>
    </w:p>
    <w:p>
      <w:pPr>
        <w:pStyle w:val="Heading2"/>
      </w:pPr>
      <w:r>
        <w:t>Key Performance Indicators</w:t>
      </w:r>
    </w:p>
    <w:tbl>
      <w:tblPr>
        <w:tblW w:w="5000" w:type="pct"/>
        <w:tblBorders>
          <w:top w:val="single" w:color="1a365d" w:sz="8"/>
          <w:left w:val="nil"/>
          <w:bottom w:val="single" w:color="1a365d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  <w:gridCol w:w="2000"/>
      </w:tblGrid>
      <w:tr>
        <w:trPr>
          <w:tblHeader/>
        </w:trPr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KPI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M3 Target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M6 Target</w:t>
            </w:r>
          </w:p>
        </w:tc>
        <w:tc>
          <w:tcPr>
            <w:shd w:val="clear" w:fill="edf2f7"/>
            <w:vAlign w:val="center"/>
          </w:tcPr>
          <w:p>
            <w:pPr>
              <w:jc w:val="left"/>
            </w:pPr>
            <w:r>
              <w:rPr>
                <w:b/>
                <w:color w:val="1a202c"/>
                <w:sz w:val="21"/>
              </w:rPr>
              <w:t>M12 Target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Active Clients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1-2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3-4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5-7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Monthly Recurring Revenue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$3,500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$7,000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Project Gross Margin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≥85%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≥75%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≥75%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Average Project Value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$3,500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$8,000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$10,000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Retainer Conversion Rate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-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≥25%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≥40%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Proposal-to-Close Rate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≥20%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≥30%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color w:val="1a202c"/>
                <w:sz w:val="21"/>
              </w:rPr>
              <w:t>≥35%</w:t>
            </w:r>
          </w:p>
        </w:tc>
      </w:tr>
    </w:tbl>
    <w:sectPr>
      <w:headerReference w:type="default" r:id="R08d38dd7cc1e4808"/>
      <w:footerReference w:type="default" r:id="Rc321b763ddde4d36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718096"/>
        <w:sz w:val="18"/>
      </w:rPr>
      <w:t>NoDrftSystems</w:t>
    </w:r>
    <w:r>
      <w:rPr>
        <w:color w:val="1a365d"/>
        <w:sz w:val="18"/>
      </w:rPr>
      <w:t xml:space="preserve">  |  </w:t>
    </w:r>
    <w:r>
      <w:rPr>
        <w:color w:val="718096"/>
        <w:sz w:val="18"/>
      </w:rPr>
      <w:t>Master Strategic Alignment Pack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88" w:lineRule="auto"/>
    </w:pPr>
    <w:rPr>
      <w:rFonts w:ascii="Calibri" w:hAnsi="Calibri"/>
      <w:color w:val="1a202c"/>
      <w:sz w:val="22"/>
    </w:rPr>
  </w:style>
  <w:style w:type="paragraph" w:styleId="Heading1">
    <w:name w:val="heading 1"/>
    <w:basedOn w:val="Normal"/>
    <w:pPr>
      <w:keepNext/>
      <w:keepLines/>
      <w:spacing w:before="480" w:after="240"/>
      <w:outlineLvl w:val="0"/>
    </w:pPr>
    <w:rPr>
      <w:b/>
      <w:color w:val="1a365d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2c5282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4a5568"/>
      <w:sz w:val="24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1a202c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a5568"/>
    </w:rPr>
  </w:style>
</w:styles>
</file>

<file path=word/_rels/document.xml.rels><?xml version='1.0' encoding='UTF-8' standalone='yes'?>
<Relationships xmlns="http://schemas.openxmlformats.org/package/2006/relationships"><Relationship Id="Rba48cc99e321436c" Type="http://schemas.openxmlformats.org/officeDocument/2006/relationships/styles" Target="styles.xml"/><Relationship Id="Rb371374fcb5642e9" Type="http://schemas.openxmlformats.org/officeDocument/2006/relationships/numbering" Target="numbering.xml"/><Relationship Id="R08d38dd7cc1e4808" Type="http://schemas.openxmlformats.org/officeDocument/2006/relationships/header" Target="header1.xml"/><Relationship Id="Rc321b763ddde4d36" Type="http://schemas.openxmlformats.org/officeDocument/2006/relationships/footer" Target="footer1.xml"/></Relationships>
</file>