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65D"/>
          <w:sz w:val="96"/>
        </w:rPr>
        <w:t>NoDrftSystems</w:t>
      </w:r>
    </w:p>
    <w:p/>
    <w:p>
      <w:pPr>
        <w:jc w:val="center"/>
      </w:pPr>
      <w:r>
        <w:rPr>
          <w:color w:val="2C5282"/>
          <w:sz w:val="56"/>
        </w:rPr>
        <w:t>Copy System</w:t>
      </w:r>
    </w:p>
    <w:p/>
    <w:p>
      <w:pPr>
        <w:jc w:val="center"/>
      </w:pPr>
      <w:r>
        <w:rPr>
          <w:color w:val="4A5568"/>
          <w:sz w:val="32"/>
        </w:rPr>
        <w:t>Bilingual Content Library (EN/ES)</w:t>
      </w:r>
    </w:p>
    <w:p/>
    <w:p/>
    <w:p/>
    <w:p>
      <w:pPr>
        <w:jc w:val="center"/>
      </w:pPr>
      <w:r>
        <w:rPr>
          <w:color w:val="718096"/>
          <w:sz w:val="24"/>
        </w:rPr>
        <w:t>Version 1.0 | April 2026</w:t>
      </w:r>
    </w:p>
    <w:p>
      <w:pPr>
        <w:jc w:val="center"/>
      </w:pPr>
      <w:r>
        <w:rPr>
          <w:color w:val="718096"/>
          <w:sz w:val="22"/>
        </w:rPr>
        <w:t>Approved Copy Deck</w:t>
      </w:r>
    </w:p>
    <w:p>
      <w:r>
        <w:br w:type="page"/>
      </w:r>
    </w:p>
    <w:p>
      <w:pPr>
        <w:pStyle w:val="Heading1"/>
      </w:pPr>
      <w:r>
        <w:t>Copy Principles</w:t>
      </w:r>
    </w:p>
    <w:p>
      <w:pPr>
        <w:pStyle w:val="Heading2"/>
      </w:pPr>
      <w:r>
        <w:t>Tone &amp; Voice</w:t>
      </w:r>
    </w:p>
    <w:p>
      <w:pPr>
        <w:pStyle w:val="ListBullet"/>
      </w:pPr>
      <w:r>
        <w:t>Professional but approachable—not stiff corporate speak</w:t>
      </w:r>
    </w:p>
    <w:p>
      <w:pPr>
        <w:pStyle w:val="ListBullet"/>
      </w:pPr>
      <w:r>
        <w:t>Confident but not arrogant—let results speak</w:t>
      </w:r>
    </w:p>
    <w:p>
      <w:pPr>
        <w:pStyle w:val="ListBullet"/>
      </w:pPr>
      <w:r>
        <w:t>Clear over clever—plain language beats jargon</w:t>
      </w:r>
    </w:p>
    <w:p>
      <w:pPr>
        <w:pStyle w:val="ListBullet"/>
      </w:pPr>
      <w:r>
        <w:t>Specific over vague—concrete examples, not abstract claims</w:t>
      </w:r>
    </w:p>
    <w:p>
      <w:pPr>
        <w:pStyle w:val="Heading2"/>
      </w:pPr>
      <w:r>
        <w:t>Plain Language Rules</w:t>
      </w:r>
    </w:p>
    <w:p>
      <w:pPr>
        <w:pStyle w:val="ListBullet"/>
      </w:pPr>
      <w:r>
        <w:t>No acronyms dropped cold—explain or avoid</w:t>
      </w:r>
    </w:p>
    <w:p>
      <w:pPr>
        <w:pStyle w:val="ListBullet"/>
      </w:pPr>
      <w:r>
        <w:t>Technical terms must have buyer-safe explanations</w:t>
      </w:r>
    </w:p>
    <w:p>
      <w:pPr>
        <w:pStyle w:val="ListBullet"/>
      </w:pPr>
      <w:r>
        <w:t>Active voice preferred over passive</w:t>
      </w:r>
    </w:p>
    <w:p>
      <w:pPr>
        <w:pStyle w:val="ListBullet"/>
      </w:pPr>
      <w:r>
        <w:t>Short sentences and paragraphs for web readability</w:t>
      </w:r>
    </w:p>
    <w:p>
      <w:pPr>
        <w:pStyle w:val="ListBullet"/>
      </w:pPr>
      <w:r>
        <w:t>One idea per paragraph</w:t>
      </w:r>
    </w:p>
    <w:p>
      <w:pPr>
        <w:pStyle w:val="Heading2"/>
      </w:pPr>
      <w:r>
        <w:t>Bilingual Requirements</w:t>
      </w:r>
    </w:p>
    <w:p>
      <w:pPr>
        <w:pStyle w:val="ListBullet"/>
      </w:pPr>
      <w:r>
        <w:t>English/Spanish parity required for all key pages</w:t>
      </w:r>
    </w:p>
    <w:p>
      <w:pPr>
        <w:pStyle w:val="ListBullet"/>
      </w:pPr>
      <w:r>
        <w:t>Transcreation preferred over literal translation where tone matters</w:t>
      </w:r>
    </w:p>
    <w:p>
      <w:pPr>
        <w:pStyle w:val="ListBullet"/>
      </w:pPr>
      <w:r>
        <w:t>CTA strength must be equivalent in both languages</w:t>
      </w:r>
    </w:p>
    <w:p>
      <w:pPr>
        <w:pStyle w:val="ListBullet"/>
      </w:pPr>
      <w:r>
        <w:t>Legal/privacy language requires professional translation review</w:t>
      </w:r>
    </w:p>
    <w:p>
      <w:pPr>
        <w:pStyle w:val="Heading2"/>
      </w:pPr>
      <w:r>
        <w:t>What to Avoid</w:t>
      </w:r>
    </w:p>
    <w:p>
      <w:pPr>
        <w:pStyle w:val="ListBullet"/>
      </w:pPr>
      <w:r>
        <w:t>Superlatives without proof ("best," "leading," "top")</w:t>
      </w:r>
    </w:p>
    <w:p>
      <w:pPr>
        <w:pStyle w:val="ListBullet"/>
      </w:pPr>
      <w:r>
        <w:t>Jargon that assumes technical knowledge</w:t>
      </w:r>
    </w:p>
    <w:p>
      <w:pPr>
        <w:pStyle w:val="ListBullet"/>
      </w:pPr>
      <w:r>
        <w:t>Vague promises ("synergy," "innovation," "solutions")</w:t>
      </w:r>
    </w:p>
    <w:p>
      <w:pPr>
        <w:pStyle w:val="ListBullet"/>
      </w:pPr>
      <w:r>
        <w:t>Process reveals that expose internal methods</w:t>
      </w:r>
    </w:p>
    <w:p>
      <w:pPr>
        <w:pStyle w:val="ListBullet"/>
      </w:pPr>
      <w:r>
        <w:t>Client naming without explicit approval</w:t>
      </w:r>
    </w:p>
    <w:p>
      <w:r>
        <w:br w:type="page"/>
      </w:r>
    </w:p>
    <w:p>
      <w:pPr>
        <w:pStyle w:val="Heading1"/>
      </w:pPr>
      <w:r>
        <w:t>Global Modules</w:t>
      </w:r>
    </w:p>
    <w:p>
      <w:pPr>
        <w:pStyle w:val="Heading2"/>
      </w:pPr>
      <w:r>
        <w:t>Value Proposition</w:t>
      </w:r>
    </w:p>
    <w:p>
      <w:pPr>
        <w:pStyle w:val="Heading3"/>
      </w:pPr>
      <w:r>
        <w:t>English</w:t>
      </w:r>
    </w:p>
    <w:p>
      <w:r>
        <w:rPr>
          <w:i/>
        </w:rPr>
        <w:t>Websites built to perform—structured to last.</w:t>
      </w:r>
    </w:p>
    <w:p>
      <w:r>
        <w:rPr>
          <w:i/>
        </w:rPr>
        <w:t>We design and build modern websites and digital platforms for organizations that need stronger positioning, better conversion, and more disciplined execution. Scope is confirmed before work begins. Quality is validated before handoff.</w:t>
      </w:r>
    </w:p>
    <w:p>
      <w:pPr>
        <w:pStyle w:val="Heading3"/>
      </w:pPr>
      <w:r>
        <w:t>Spanish</w:t>
      </w:r>
    </w:p>
    <w:p>
      <w:r>
        <w:rPr>
          <w:i/>
        </w:rPr>
        <w:t>Sitios web diseñados para rendir—estructurados para durar.</w:t>
      </w:r>
    </w:p>
    <w:p>
      <w:r>
        <w:rPr>
          <w:i/>
        </w:rPr>
        <w:t>Diseñamos y construimos sitios web modernos y plataformas digitales para organizaciones que necesitan mejor posicionamiento, mayor conversión y una ejecución más disciplinada. El alcance se confirma antes de iniciar. La calidad se valida antes del traspaso.</w:t>
      </w:r>
    </w:p>
    <w:p>
      <w:pPr>
        <w:pStyle w:val="Heading2"/>
      </w:pPr>
      <w:r>
        <w:t>Differentiators</w:t>
      </w:r>
    </w:p>
    <w:p>
      <w:pPr>
        <w:pStyle w:val="Heading3"/>
      </w:pPr>
      <w:r>
        <w:t>English</w:t>
      </w:r>
    </w:p>
    <w:tbl>
      <w:tblPr>
        <w:tblStyle w:val="TableGrid"/>
        <w:tblW w:type="auto" w:w="0"/>
        <w:tblLook w:firstColumn="1" w:firstRow="1" w:lastColumn="0" w:lastRow="0" w:noHBand="0" w:noVBand="1" w:val="04A0"/>
      </w:tblPr>
      <w:tblGrid>
        <w:gridCol w:w="4320"/>
        <w:gridCol w:w="4320"/>
      </w:tblGrid>
      <w:tr>
        <w:tc>
          <w:tcPr>
            <w:tcW w:type="dxa" w:w="4320"/>
          </w:tcPr>
          <w:p>
            <w:r>
              <w:t>Differentiator</w:t>
            </w:r>
          </w:p>
        </w:tc>
        <w:tc>
          <w:tcPr>
            <w:tcW w:type="dxa" w:w="4320"/>
          </w:tcPr>
          <w:p>
            <w:r>
              <w:t>Copy</w:t>
            </w:r>
          </w:p>
        </w:tc>
      </w:tr>
      <w:tr>
        <w:tc>
          <w:tcPr>
            <w:tcW w:type="dxa" w:w="4320"/>
          </w:tcPr>
          <w:p>
            <w:r>
              <w:t>Clarity First</w:t>
            </w:r>
          </w:p>
        </w:tc>
        <w:tc>
          <w:tcPr>
            <w:tcW w:type="dxa" w:w="4320"/>
          </w:tcPr>
          <w:p>
            <w:r>
              <w:t>Scope confirmed before work begins. No surprises.</w:t>
            </w:r>
          </w:p>
        </w:tc>
      </w:tr>
      <w:tr>
        <w:tc>
          <w:tcPr>
            <w:tcW w:type="dxa" w:w="4320"/>
          </w:tcPr>
          <w:p>
            <w:r>
              <w:t>Structured Delivery</w:t>
            </w:r>
          </w:p>
        </w:tc>
        <w:tc>
          <w:tcPr>
            <w:tcW w:type="dxa" w:w="4320"/>
          </w:tcPr>
          <w:p>
            <w:r>
              <w:t>Defined packages with clear inclusions and exclusions.</w:t>
            </w:r>
          </w:p>
        </w:tc>
      </w:tr>
      <w:tr>
        <w:tc>
          <w:tcPr>
            <w:tcW w:type="dxa" w:w="4320"/>
          </w:tcPr>
          <w:p>
            <w:r>
              <w:t>Zero Drift</w:t>
            </w:r>
          </w:p>
        </w:tc>
        <w:tc>
          <w:tcPr>
            <w:tcW w:type="dxa" w:w="4320"/>
          </w:tcPr>
          <w:p>
            <w:r>
              <w:t>What ships stays correct after handoff.</w:t>
            </w:r>
          </w:p>
        </w:tc>
      </w:tr>
      <w:tr>
        <w:tc>
          <w:tcPr>
            <w:tcW w:type="dxa" w:w="4320"/>
          </w:tcPr>
          <w:p>
            <w:r>
              <w:t>Bilingual Ready</w:t>
            </w:r>
          </w:p>
        </w:tc>
        <w:tc>
          <w:tcPr>
            <w:tcW w:type="dxa" w:w="4320"/>
          </w:tcPr>
          <w:p>
            <w:r>
              <w:t>English and Spanish content parity as standard.</w:t>
            </w:r>
          </w:p>
        </w:tc>
      </w:tr>
      <w:tr>
        <w:tc>
          <w:tcPr>
            <w:tcW w:type="dxa" w:w="4320"/>
          </w:tcPr>
          <w:p>
            <w:r>
              <w:t>Serious &amp; Discrete</w:t>
            </w:r>
          </w:p>
        </w:tc>
        <w:tc>
          <w:tcPr>
            <w:tcW w:type="dxa" w:w="4320"/>
          </w:tcPr>
          <w:p>
            <w:r>
              <w:t>Professional handling of sensitive projects.</w:t>
            </w:r>
          </w:p>
        </w:tc>
      </w:tr>
    </w:tbl>
    <w:p/>
    <w:p>
      <w:pPr>
        <w:pStyle w:val="Heading3"/>
      </w:pPr>
      <w:r>
        <w:t>Spanish</w:t>
      </w:r>
    </w:p>
    <w:tbl>
      <w:tblPr>
        <w:tblStyle w:val="TableGrid"/>
        <w:tblW w:type="auto" w:w="0"/>
        <w:tblLook w:firstColumn="1" w:firstRow="1" w:lastColumn="0" w:lastRow="0" w:noHBand="0" w:noVBand="1" w:val="04A0"/>
      </w:tblPr>
      <w:tblGrid>
        <w:gridCol w:w="4320"/>
        <w:gridCol w:w="4320"/>
      </w:tblGrid>
      <w:tr>
        <w:tc>
          <w:tcPr>
            <w:tcW w:type="dxa" w:w="4320"/>
          </w:tcPr>
          <w:p>
            <w:r>
              <w:t>Differentiator</w:t>
            </w:r>
          </w:p>
        </w:tc>
        <w:tc>
          <w:tcPr>
            <w:tcW w:type="dxa" w:w="4320"/>
          </w:tcPr>
          <w:p>
            <w:r>
              <w:t>Copy</w:t>
            </w:r>
          </w:p>
        </w:tc>
      </w:tr>
      <w:tr>
        <w:tc>
          <w:tcPr>
            <w:tcW w:type="dxa" w:w="4320"/>
          </w:tcPr>
          <w:p>
            <w:r>
              <w:t>Claridad Primero</w:t>
            </w:r>
          </w:p>
        </w:tc>
        <w:tc>
          <w:tcPr>
            <w:tcW w:type="dxa" w:w="4320"/>
          </w:tcPr>
          <w:p>
            <w:r>
              <w:t>El alcance se confirma antes de iniciar. Sin sorpresas.</w:t>
            </w:r>
          </w:p>
        </w:tc>
      </w:tr>
      <w:tr>
        <w:tc>
          <w:tcPr>
            <w:tcW w:type="dxa" w:w="4320"/>
          </w:tcPr>
          <w:p>
            <w:r>
              <w:t>Entrega Estructurada</w:t>
            </w:r>
          </w:p>
        </w:tc>
        <w:tc>
          <w:tcPr>
            <w:tcW w:type="dxa" w:w="4320"/>
          </w:tcPr>
          <w:p>
            <w:r>
              <w:t>Paquetes definidos con inclusiones y exclusiones claras.</w:t>
            </w:r>
          </w:p>
        </w:tc>
      </w:tr>
      <w:tr>
        <w:tc>
          <w:tcPr>
            <w:tcW w:type="dxa" w:w="4320"/>
          </w:tcPr>
          <w:p>
            <w:r>
              <w:t>Cero Desviación</w:t>
            </w:r>
          </w:p>
        </w:tc>
        <w:tc>
          <w:tcPr>
            <w:tcW w:type="dxa" w:w="4320"/>
          </w:tcPr>
          <w:p>
            <w:r>
              <w:t>Lo entregado se mantiene correcto después del traspaso.</w:t>
            </w:r>
          </w:p>
        </w:tc>
      </w:tr>
      <w:tr>
        <w:tc>
          <w:tcPr>
            <w:tcW w:type="dxa" w:w="4320"/>
          </w:tcPr>
          <w:p>
            <w:r>
              <w:t>Listo Bilingüe</w:t>
            </w:r>
          </w:p>
        </w:tc>
        <w:tc>
          <w:tcPr>
            <w:tcW w:type="dxa" w:w="4320"/>
          </w:tcPr>
          <w:p>
            <w:r>
              <w:t>Paridad de contenido en inglés y español como estándar.</w:t>
            </w:r>
          </w:p>
        </w:tc>
      </w:tr>
      <w:tr>
        <w:tc>
          <w:tcPr>
            <w:tcW w:type="dxa" w:w="4320"/>
          </w:tcPr>
          <w:p>
            <w:r>
              <w:t>Serio y Discreto</w:t>
            </w:r>
          </w:p>
        </w:tc>
        <w:tc>
          <w:tcPr>
            <w:tcW w:type="dxa" w:w="4320"/>
          </w:tcPr>
          <w:p>
            <w:r>
              <w:t>Manejo profesional de proyectos sensibles.</w:t>
            </w:r>
          </w:p>
        </w:tc>
      </w:tr>
    </w:tbl>
    <w:p>
      <w:r>
        <w:br w:type="page"/>
      </w:r>
    </w:p>
    <w:p>
      <w:pPr>
        <w:pStyle w:val="Heading1"/>
      </w:pPr>
      <w:r>
        <w:t>Page Copy</w:t>
      </w:r>
    </w:p>
    <w:p>
      <w:pPr>
        <w:pStyle w:val="Heading2"/>
      </w:pPr>
      <w:r>
        <w:t>Home</w:t>
      </w:r>
    </w:p>
    <w:p>
      <w:pPr>
        <w:pStyle w:val="Heading3"/>
      </w:pPr>
      <w:r>
        <w:t>Hero Headline (EN)</w:t>
      </w:r>
    </w:p>
    <w:p>
      <w:r>
        <w:rPr>
          <w:i/>
        </w:rPr>
        <w:t>Websites built to perform—structured to last.</w:t>
      </w:r>
    </w:p>
    <w:p>
      <w:pPr>
        <w:pStyle w:val="Heading3"/>
      </w:pPr>
      <w:r>
        <w:t>Hero Headline (ES)</w:t>
      </w:r>
    </w:p>
    <w:p>
      <w:r>
        <w:rPr>
          <w:i/>
        </w:rPr>
        <w:t>Sitios web diseñados para rendir—estructurados para durar.</w:t>
      </w:r>
    </w:p>
    <w:p>
      <w:pPr>
        <w:pStyle w:val="Heading3"/>
      </w:pPr>
      <w:r>
        <w:t>Hero Subhead (EN)</w:t>
      </w:r>
    </w:p>
    <w:p>
      <w:r>
        <w:rPr>
          <w:i/>
        </w:rPr>
        <w:t>Modern websites and digital platforms for organizations that need stronger positioning, better conversion, and more disciplined execution.</w:t>
      </w:r>
    </w:p>
    <w:p>
      <w:pPr>
        <w:pStyle w:val="Heading3"/>
      </w:pPr>
      <w:r>
        <w:t>Hero Subhead (ES)</w:t>
      </w:r>
    </w:p>
    <w:p>
      <w:r>
        <w:rPr>
          <w:i/>
        </w:rPr>
        <w:t>Sitios web modernos y plataformas digitales para organizaciones que necesitan mejor posicionamiento, mayor conversión y una ejecución más disciplinada.</w:t>
      </w:r>
    </w:p>
    <w:p>
      <w:pPr>
        <w:pStyle w:val="Heading2"/>
      </w:pPr>
      <w:r>
        <w:t>Capabilities / Website Packages</w:t>
      </w:r>
    </w:p>
    <w:p>
      <w:pPr>
        <w:pStyle w:val="Heading3"/>
      </w:pPr>
      <w:r>
        <w:t>Page Intro (EN)</w:t>
      </w:r>
    </w:p>
    <w:p>
      <w:r>
        <w:rPr>
          <w:i/>
        </w:rPr>
        <w:t>Choose a package by scope and objective. Most projects fit a defined package. If scope is unclear or multiple systems are involved, start with a Discovery Sprint—so the build doesn't drift.</w:t>
      </w:r>
    </w:p>
    <w:p>
      <w:pPr>
        <w:pStyle w:val="Heading3"/>
      </w:pPr>
      <w:r>
        <w:t>Page Intro (ES)</w:t>
      </w:r>
    </w:p>
    <w:p>
      <w:r>
        <w:rPr>
          <w:i/>
        </w:rPr>
        <w:t>Elige un paquete según el alcance y el objetivo. La mayoría de los proyectos encaja en un paquete definido. Si el alcance no está claro o intervienen varios sistemas, comienza con un Discovery Sprint—para que la entrega no se desvíe.</w:t>
      </w:r>
    </w:p>
    <w:p>
      <w:pPr>
        <w:pStyle w:val="Heading2"/>
      </w:pPr>
      <w:r>
        <w:t>About</w:t>
      </w:r>
    </w:p>
    <w:p>
      <w:pPr>
        <w:pStyle w:val="Heading3"/>
      </w:pPr>
      <w:r>
        <w:t>Opening Statement (EN)</w:t>
      </w:r>
    </w:p>
    <w:p>
      <w:r>
        <w:rPr>
          <w:i/>
        </w:rPr>
        <w:t>We're not a generic agency. NoDrftSystems operates with structured scoping, controlled delivery, and review discipline—so what ships stays correct when content changes and teams get busy.</w:t>
      </w:r>
    </w:p>
    <w:p>
      <w:pPr>
        <w:pStyle w:val="Heading3"/>
      </w:pPr>
      <w:r>
        <w:t>Opening Statement (ES)</w:t>
      </w:r>
    </w:p>
    <w:p>
      <w:r>
        <w:rPr>
          <w:i/>
        </w:rPr>
        <w:t>No somos una agencia genérica. NoDrftSystems trabaja con alcance definido, entrega controlada y disciplina de revisión—para que lo entregado se mantenga correcto cuando cambia el contenido y el equipo está ocupado.</w:t>
      </w:r>
    </w:p>
    <w:p>
      <w:pPr>
        <w:pStyle w:val="Heading2"/>
      </w:pPr>
      <w:r>
        <w:t>Careers</w:t>
      </w:r>
    </w:p>
    <w:p>
      <w:pPr>
        <w:pStyle w:val="Heading3"/>
      </w:pPr>
      <w:r>
        <w:t>Opening Statement (EN)</w:t>
      </w:r>
    </w:p>
    <w:p>
      <w:r>
        <w:rPr>
          <w:i/>
        </w:rPr>
        <w:t>Careers stays open because we build a vetted bench. If you thrive on clarity, accountability, and review gates, you can submit interest—even when no role is posted.</w:t>
      </w:r>
    </w:p>
    <w:p>
      <w:pPr>
        <w:pStyle w:val="Heading3"/>
      </w:pPr>
      <w:r>
        <w:t>Opening Statement (ES)</w:t>
      </w:r>
    </w:p>
    <w:p>
      <w:r>
        <w:rPr>
          <w:i/>
        </w:rPr>
        <w:t>Mantenemos Carreras abierta porque construimos un banco de talento verificado. Si te va bien con claridad, responsabilidad y compuertas de revisión, puedes postular tu interés—aunque hoy no haya vacantes publicadas.</w:t>
      </w:r>
    </w:p>
    <w:p>
      <w:r>
        <w:br w:type="page"/>
      </w:r>
    </w:p>
    <w:p>
      <w:pPr>
        <w:pStyle w:val="Heading1"/>
      </w:pPr>
      <w:r>
        <w:t>Package Cards</w:t>
      </w:r>
    </w:p>
    <w:p>
      <w:pPr>
        <w:pStyle w:val="Heading2"/>
      </w:pPr>
      <w:r>
        <w:t>Discovery Sprint / Project Clarity Sprint</w:t>
      </w:r>
    </w:p>
    <w:p>
      <w:pPr>
        <w:pStyle w:val="Heading3"/>
      </w:pPr>
      <w:r>
        <w:t>English</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Copy</w:t>
            </w:r>
          </w:p>
        </w:tc>
      </w:tr>
      <w:tr>
        <w:tc>
          <w:tcPr>
            <w:tcW w:type="dxa" w:w="4320"/>
          </w:tcPr>
          <w:p>
            <w:r>
              <w:t>Best For</w:t>
            </w:r>
          </w:p>
        </w:tc>
        <w:tc>
          <w:tcPr>
            <w:tcW w:type="dxa" w:w="4320"/>
          </w:tcPr>
          <w:p>
            <w:r>
              <w:t>Projects where scope is unclear or multiple systems are involved</w:t>
            </w:r>
          </w:p>
        </w:tc>
      </w:tr>
      <w:tr>
        <w:tc>
          <w:tcPr>
            <w:tcW w:type="dxa" w:w="4320"/>
          </w:tcPr>
          <w:p>
            <w:r>
              <w:t>Included</w:t>
            </w:r>
          </w:p>
        </w:tc>
        <w:tc>
          <w:tcPr>
            <w:tcW w:type="dxa" w:w="4320"/>
          </w:tcPr>
          <w:p>
            <w:r>
              <w:t>Discovery workshop, scope brief, execution plan, package recommendation</w:t>
            </w:r>
          </w:p>
        </w:tc>
      </w:tr>
      <w:tr>
        <w:tc>
          <w:tcPr>
            <w:tcW w:type="dxa" w:w="4320"/>
          </w:tcPr>
          <w:p>
            <w:r>
              <w:t>Not Included</w:t>
            </w:r>
          </w:p>
        </w:tc>
        <w:tc>
          <w:tcPr>
            <w:tcW w:type="dxa" w:w="4320"/>
          </w:tcPr>
          <w:p>
            <w:r>
              <w:t>Design, development, or content creation</w:t>
            </w:r>
          </w:p>
        </w:tc>
      </w:tr>
      <w:tr>
        <w:tc>
          <w:tcPr>
            <w:tcW w:type="dxa" w:w="4320"/>
          </w:tcPr>
          <w:p>
            <w:r>
              <w:t>Timeline</w:t>
            </w:r>
          </w:p>
        </w:tc>
        <w:tc>
          <w:tcPr>
            <w:tcW w:type="dxa" w:w="4320"/>
          </w:tcPr>
          <w:p>
            <w:r>
              <w:t>1 week</w:t>
            </w:r>
          </w:p>
        </w:tc>
      </w:tr>
      <w:tr>
        <w:tc>
          <w:tcPr>
            <w:tcW w:type="dxa" w:w="4320"/>
          </w:tcPr>
          <w:p>
            <w:r>
              <w:t>Price</w:t>
            </w:r>
          </w:p>
        </w:tc>
        <w:tc>
          <w:tcPr>
            <w:tcW w:type="dxa" w:w="4320"/>
          </w:tcPr>
          <w:p>
            <w:r>
              <w:t>$2,000</w:t>
            </w:r>
          </w:p>
        </w:tc>
      </w:tr>
      <w:tr>
        <w:tc>
          <w:tcPr>
            <w:tcW w:type="dxa" w:w="4320"/>
          </w:tcPr>
          <w:p>
            <w:r>
              <w:t>Next Step</w:t>
            </w:r>
          </w:p>
        </w:tc>
        <w:tc>
          <w:tcPr>
            <w:tcW w:type="dxa" w:w="4320"/>
          </w:tcPr>
          <w:p>
            <w:r>
              <w:t>Start an Engagement</w:t>
            </w:r>
          </w:p>
        </w:tc>
      </w:tr>
    </w:tbl>
    <w:p/>
    <w:p>
      <w:pPr>
        <w:pStyle w:val="Heading3"/>
      </w:pPr>
      <w:r>
        <w:t>Spanish</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Copy</w:t>
            </w:r>
          </w:p>
        </w:tc>
      </w:tr>
      <w:tr>
        <w:tc>
          <w:tcPr>
            <w:tcW w:type="dxa" w:w="4320"/>
          </w:tcPr>
          <w:p>
            <w:r>
              <w:t>Best For</w:t>
            </w:r>
          </w:p>
        </w:tc>
        <w:tc>
          <w:tcPr>
            <w:tcW w:type="dxa" w:w="4320"/>
          </w:tcPr>
          <w:p>
            <w:r>
              <w:t>Proyectos donde el alcance no está claro o intervienen varios sistemas</w:t>
            </w:r>
          </w:p>
        </w:tc>
      </w:tr>
      <w:tr>
        <w:tc>
          <w:tcPr>
            <w:tcW w:type="dxa" w:w="4320"/>
          </w:tcPr>
          <w:p>
            <w:r>
              <w:t>Included</w:t>
            </w:r>
          </w:p>
        </w:tc>
        <w:tc>
          <w:tcPr>
            <w:tcW w:type="dxa" w:w="4320"/>
          </w:tcPr>
          <w:p>
            <w:r>
              <w:t>Taller de descubrimiento, brief de alcance, plan de ejecución, recomendación de paquete</w:t>
            </w:r>
          </w:p>
        </w:tc>
      </w:tr>
      <w:tr>
        <w:tc>
          <w:tcPr>
            <w:tcW w:type="dxa" w:w="4320"/>
          </w:tcPr>
          <w:p>
            <w:r>
              <w:t>Not Included</w:t>
            </w:r>
          </w:p>
        </w:tc>
        <w:tc>
          <w:tcPr>
            <w:tcW w:type="dxa" w:w="4320"/>
          </w:tcPr>
          <w:p>
            <w:r>
              <w:t>Diseño, desarrollo o creación de contenido</w:t>
            </w:r>
          </w:p>
        </w:tc>
      </w:tr>
      <w:tr>
        <w:tc>
          <w:tcPr>
            <w:tcW w:type="dxa" w:w="4320"/>
          </w:tcPr>
          <w:p>
            <w:r>
              <w:t>Timeline</w:t>
            </w:r>
          </w:p>
        </w:tc>
        <w:tc>
          <w:tcPr>
            <w:tcW w:type="dxa" w:w="4320"/>
          </w:tcPr>
          <w:p>
            <w:r>
              <w:t>1 semana</w:t>
            </w:r>
          </w:p>
        </w:tc>
      </w:tr>
      <w:tr>
        <w:tc>
          <w:tcPr>
            <w:tcW w:type="dxa" w:w="4320"/>
          </w:tcPr>
          <w:p>
            <w:r>
              <w:t>Price</w:t>
            </w:r>
          </w:p>
        </w:tc>
        <w:tc>
          <w:tcPr>
            <w:tcW w:type="dxa" w:w="4320"/>
          </w:tcPr>
          <w:p>
            <w:r>
              <w:t>$2,000</w:t>
            </w:r>
          </w:p>
        </w:tc>
      </w:tr>
      <w:tr>
        <w:tc>
          <w:tcPr>
            <w:tcW w:type="dxa" w:w="4320"/>
          </w:tcPr>
          <w:p>
            <w:r>
              <w:t>Next Step</w:t>
            </w:r>
          </w:p>
        </w:tc>
        <w:tc>
          <w:tcPr>
            <w:tcW w:type="dxa" w:w="4320"/>
          </w:tcPr>
          <w:p>
            <w:r>
              <w:t>Iniciar un Proyecto</w:t>
            </w:r>
          </w:p>
        </w:tc>
      </w:tr>
    </w:tbl>
    <w:p>
      <w:r>
        <w:br w:type="page"/>
      </w:r>
    </w:p>
    <w:p>
      <w:pPr>
        <w:pStyle w:val="Heading1"/>
      </w:pPr>
      <w:r>
        <w:t>CTA Library</w:t>
      </w:r>
    </w:p>
    <w:p>
      <w:r>
        <w:t>Standardized call-to-action copy for consistency across all pages.</w:t>
      </w:r>
    </w:p>
    <w:tbl>
      <w:tblPr>
        <w:tblStyle w:val="TableGrid"/>
        <w:tblW w:type="auto" w:w="0"/>
        <w:tblLook w:firstColumn="1" w:firstRow="1" w:lastColumn="0" w:lastRow="0" w:noHBand="0" w:noVBand="1" w:val="04A0"/>
      </w:tblPr>
      <w:tblGrid>
        <w:gridCol w:w="2880"/>
        <w:gridCol w:w="2880"/>
        <w:gridCol w:w="2880"/>
      </w:tblGrid>
      <w:tr>
        <w:tc>
          <w:tcPr>
            <w:tcW w:type="dxa" w:w="2880"/>
          </w:tcPr>
          <w:p>
            <w:r>
              <w:t>CTA</w:t>
            </w:r>
          </w:p>
        </w:tc>
        <w:tc>
          <w:tcPr>
            <w:tcW w:type="dxa" w:w="2880"/>
          </w:tcPr>
          <w:p>
            <w:r>
              <w:t>English</w:t>
            </w:r>
          </w:p>
        </w:tc>
        <w:tc>
          <w:tcPr>
            <w:tcW w:type="dxa" w:w="2880"/>
          </w:tcPr>
          <w:p>
            <w:r>
              <w:t>Spanish</w:t>
            </w:r>
          </w:p>
        </w:tc>
      </w:tr>
      <w:tr>
        <w:tc>
          <w:tcPr>
            <w:tcW w:type="dxa" w:w="2880"/>
          </w:tcPr>
          <w:p>
            <w:r>
              <w:t>Primary</w:t>
            </w:r>
          </w:p>
        </w:tc>
        <w:tc>
          <w:tcPr>
            <w:tcW w:type="dxa" w:w="2880"/>
          </w:tcPr>
          <w:p>
            <w:r>
              <w:t>Start an Engagement</w:t>
            </w:r>
          </w:p>
        </w:tc>
        <w:tc>
          <w:tcPr>
            <w:tcW w:type="dxa" w:w="2880"/>
          </w:tcPr>
          <w:p>
            <w:r>
              <w:t>Iniciar un Proyecto</w:t>
            </w:r>
          </w:p>
        </w:tc>
      </w:tr>
      <w:tr>
        <w:tc>
          <w:tcPr>
            <w:tcW w:type="dxa" w:w="2880"/>
          </w:tcPr>
          <w:p>
            <w:r>
              <w:t>Discovery</w:t>
            </w:r>
          </w:p>
        </w:tc>
        <w:tc>
          <w:tcPr>
            <w:tcW w:type="dxa" w:w="2880"/>
          </w:tcPr>
          <w:p>
            <w:r>
              <w:t>Begin with Discovery</w:t>
            </w:r>
          </w:p>
        </w:tc>
        <w:tc>
          <w:tcPr>
            <w:tcW w:type="dxa" w:w="2880"/>
          </w:tcPr>
          <w:p>
            <w:r>
              <w:t>Comenzar con Discovery</w:t>
            </w:r>
          </w:p>
        </w:tc>
      </w:tr>
      <w:tr>
        <w:tc>
          <w:tcPr>
            <w:tcW w:type="dxa" w:w="2880"/>
          </w:tcPr>
          <w:p>
            <w:r>
              <w:t>Compare</w:t>
            </w:r>
          </w:p>
        </w:tc>
        <w:tc>
          <w:tcPr>
            <w:tcW w:type="dxa" w:w="2880"/>
          </w:tcPr>
          <w:p>
            <w:r>
              <w:t>Compare Packages</w:t>
            </w:r>
          </w:p>
        </w:tc>
        <w:tc>
          <w:tcPr>
            <w:tcW w:type="dxa" w:w="2880"/>
          </w:tcPr>
          <w:p>
            <w:r>
              <w:t>Comparar Paquetes</w:t>
            </w:r>
          </w:p>
        </w:tc>
      </w:tr>
      <w:tr>
        <w:tc>
          <w:tcPr>
            <w:tcW w:type="dxa" w:w="2880"/>
          </w:tcPr>
          <w:p>
            <w:r>
              <w:t>Careers</w:t>
            </w:r>
          </w:p>
        </w:tc>
        <w:tc>
          <w:tcPr>
            <w:tcW w:type="dxa" w:w="2880"/>
          </w:tcPr>
          <w:p>
            <w:r>
              <w:t>Submit Interest</w:t>
            </w:r>
          </w:p>
        </w:tc>
        <w:tc>
          <w:tcPr>
            <w:tcW w:type="dxa" w:w="2880"/>
          </w:tcPr>
          <w:p>
            <w:r>
              <w:t>Enviar Interés</w:t>
            </w:r>
          </w:p>
        </w:tc>
      </w:tr>
      <w:tr>
        <w:tc>
          <w:tcPr>
            <w:tcW w:type="dxa" w:w="2880"/>
          </w:tcPr>
          <w:p>
            <w:r>
              <w:t>Inquiry</w:t>
            </w:r>
          </w:p>
        </w:tc>
        <w:tc>
          <w:tcPr>
            <w:tcW w:type="dxa" w:w="2880"/>
          </w:tcPr>
          <w:p>
            <w:r>
              <w:t>Send Inquiry</w:t>
            </w:r>
          </w:p>
        </w:tc>
        <w:tc>
          <w:tcPr>
            <w:tcW w:type="dxa" w:w="2880"/>
          </w:tcPr>
          <w:p>
            <w:r>
              <w:t>Enviar Consulta</w:t>
            </w:r>
          </w:p>
        </w:tc>
      </w:tr>
      <w:tr>
        <w:tc>
          <w:tcPr>
            <w:tcW w:type="dxa" w:w="2880"/>
          </w:tcPr>
          <w:p>
            <w:r>
              <w:t>Contact</w:t>
            </w:r>
          </w:p>
        </w:tc>
        <w:tc>
          <w:tcPr>
            <w:tcW w:type="dxa" w:w="2880"/>
          </w:tcPr>
          <w:p>
            <w:r>
              <w:t>Get in Touch</w:t>
            </w:r>
          </w:p>
        </w:tc>
        <w:tc>
          <w:tcPr>
            <w:tcW w:type="dxa" w:w="2880"/>
          </w:tcPr>
          <w:p>
            <w:r>
              <w:t>Contactar</w:t>
            </w:r>
          </w:p>
        </w:tc>
      </w:tr>
      <w:tr>
        <w:tc>
          <w:tcPr>
            <w:tcW w:type="dxa" w:w="2880"/>
          </w:tcPr>
          <w:p>
            <w:r>
              <w:t>Learn More</w:t>
            </w:r>
          </w:p>
        </w:tc>
        <w:tc>
          <w:tcPr>
            <w:tcW w:type="dxa" w:w="2880"/>
          </w:tcPr>
          <w:p>
            <w:r>
              <w:t>Learn More</w:t>
            </w:r>
          </w:p>
        </w:tc>
        <w:tc>
          <w:tcPr>
            <w:tcW w:type="dxa" w:w="2880"/>
          </w:tcPr>
          <w:p>
            <w:r>
              <w:t>Saber Más</w:t>
            </w:r>
          </w:p>
        </w:tc>
      </w:tr>
      <w:tr>
        <w:tc>
          <w:tcPr>
            <w:tcW w:type="dxa" w:w="2880"/>
          </w:tcPr>
          <w:p>
            <w:r>
              <w:t>View Work</w:t>
            </w:r>
          </w:p>
        </w:tc>
        <w:tc>
          <w:tcPr>
            <w:tcW w:type="dxa" w:w="2880"/>
          </w:tcPr>
          <w:p>
            <w:r>
              <w:t>View Selected Work</w:t>
            </w:r>
          </w:p>
        </w:tc>
        <w:tc>
          <w:tcPr>
            <w:tcW w:type="dxa" w:w="2880"/>
          </w:tcPr>
          <w:p>
            <w:r>
              <w:t>Ver Trabajos Seleccionados</w:t>
            </w:r>
          </w:p>
        </w:tc>
      </w:tr>
    </w:tbl>
    <w:p>
      <w:r>
        <w:br w:type="page"/>
      </w:r>
    </w:p>
    <w:p>
      <w:pPr>
        <w:pStyle w:val="Heading1"/>
      </w:pPr>
      <w:r>
        <w:t>Privacy Snippets</w:t>
      </w:r>
    </w:p>
    <w:p>
      <w:pPr>
        <w:pStyle w:val="Heading2"/>
      </w:pPr>
      <w:r>
        <w:t>Start an Engagement</w:t>
      </w:r>
    </w:p>
    <w:p>
      <w:pPr>
        <w:pStyle w:val="Heading3"/>
      </w:pPr>
      <w:r>
        <w:t>English</w:t>
      </w:r>
    </w:p>
    <w:p>
      <w:r>
        <w:rPr>
          <w:i/>
        </w:rPr>
        <w:t>The information you provide will be used to assess project fit and prepare a proposal. We do not share your information with third parties. Data is stored securely and retained for 12 months unless you request deletion.</w:t>
      </w:r>
    </w:p>
    <w:p>
      <w:pPr>
        <w:pStyle w:val="Heading3"/>
      </w:pPr>
      <w:r>
        <w:t>Spanish</w:t>
      </w:r>
    </w:p>
    <w:p>
      <w:r>
        <w:rPr>
          <w:i/>
        </w:rPr>
        <w:t>La información que proporcione se utilizará para evaluar la adecuación del proyecto y preparar una propuesta. No compartimos su información con terceros. Los datos se almacenan de forma segura y se conservan durante 12 meses a menos que solicite su eliminación.</w:t>
      </w:r>
    </w:p>
    <w:p>
      <w:pPr>
        <w:pStyle w:val="Heading2"/>
      </w:pPr>
      <w:r>
        <w:t>Careers Applicant</w:t>
      </w:r>
    </w:p>
    <w:p>
      <w:pPr>
        <w:pStyle w:val="Heading3"/>
      </w:pPr>
      <w:r>
        <w:t>English</w:t>
      </w:r>
    </w:p>
    <w:p>
      <w:r>
        <w:rPr>
          <w:i/>
        </w:rPr>
        <w:t>Your application information is confidential and will only be reviewed by authorized hiring team members. We do not share applicant data with external parties. Information is retained for 24 months unless you request deletion.</w:t>
      </w:r>
    </w:p>
    <w:p>
      <w:pPr>
        <w:pStyle w:val="Heading3"/>
      </w:pPr>
      <w:r>
        <w:t>Spanish</w:t>
      </w:r>
    </w:p>
    <w:p>
      <w:r>
        <w:rPr>
          <w:i/>
        </w:rPr>
        <w:t>La información de su solicitud es confidencial y solo será revisada por miembros autorizados del equipo de contratación. No compartimos datos de solicitantes con terceros. La información se conserva durante 24 meses a menos que solicite su eliminación.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