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{{company_name}}</w:t>
      </w:r>
    </w:p>
    <w:p>
      <w:pPr>
        <w:pStyle w:val="Heading1"/>
        <w:jc w:val="center"/>
      </w:pPr>
      <w:r>
        <w:t>{{rule_name}}</w:t>
      </w:r>
    </w:p>
    <w:p/>
    <w:p>
      <w:pPr>
        <w:pStyle w:val="Heading2"/>
      </w:pPr>
      <w:r>
        <w:t>第一章 总则</w:t>
      </w:r>
    </w:p>
    <w:p>
      <w:pPr>
        <w:ind w:firstLine="480"/>
      </w:pPr>
      <w:r>
        <w:t>第一条 为规范{{company_name}}（以下简称"公司"）的{{rule_type}}，完善公司法人治理结构，根据《中华人民共和国公司法》等相关法律法规及《公司章程》的规定，制定本制度。</w:t>
      </w:r>
    </w:p>
    <w:p/>
    <w:p>
      <w:pPr>
        <w:pStyle w:val="Heading2"/>
      </w:pPr>
      <w:r>
        <w:t>正文内容</w:t>
      </w:r>
    </w:p>
    <w:p>
      <w:pPr>
        <w:ind w:firstLine="480"/>
      </w:pPr>
      <w:r>
        <w:t>{{ai_generated_content}}</w:t>
      </w:r>
    </w:p>
    <w:p/>
    <w:p>
      <w:pPr>
        <w:pStyle w:val="Heading2"/>
      </w:pPr>
      <w:r>
        <w:t>附则</w:t>
      </w:r>
    </w:p>
    <w:p>
      <w:pPr>
        <w:ind w:firstLine="480"/>
      </w:pPr>
      <w:r>
        <w:t>本制度自发布之日起施行。</w:t>
      </w:r>
    </w:p>
    <w:p/>
    <w:p/>
    <w:p>
      <w:pPr>
        <w:jc w:val="right"/>
      </w:pPr>
      <w:r>
        <w:t>{{company_name}}（盖章）</w:t>
      </w:r>
    </w:p>
    <w:p>
      <w:pPr>
        <w:jc w:val="right"/>
      </w:pPr>
      <w:r>
        <w:t>{{date}}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