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关于{{company_name}}申请首次公开发行股票并在科创板上市的</w:t>
      </w:r>
    </w:p>
    <w:p>
      <w:pPr>
        <w:pStyle w:val="Heading1"/>
        <w:jc w:val="center"/>
      </w:pPr>
      <w:r>
        <w:t>法律意见书</w:t>
      </w:r>
    </w:p>
    <w:p/>
    <w:p>
      <w:r>
        <w:t>致：{{company_name}}</w:t>
      </w:r>
    </w:p>
    <w:p/>
    <w:p>
      <w:pPr>
        <w:ind w:firstLine="480"/>
      </w:pPr>
      <w:r>
        <w:t>{{law_firm_name}}（以下简称"本所"）接受{{company_name}}（以下简称"发行人"或"公司"）的委托，担任发行人申请首次公开发行人民币普通股股票并在科创板上市（以下简称"本次发行上市"）的专项法律顾问。</w:t>
      </w:r>
    </w:p>
    <w:p/>
    <w:p>
      <w:pPr>
        <w:pStyle w:val="Heading2"/>
      </w:pPr>
      <w:r>
        <w:t>正文</w:t>
      </w:r>
    </w:p>
    <w:p>
      <w:pPr>
        <w:ind w:firstLine="480"/>
      </w:pPr>
      <w:r>
        <w:t>{{ai_generated_content}}</w:t>
      </w:r>
    </w:p>
    <w:p/>
    <w:p>
      <w:pPr>
        <w:ind w:firstLine="480"/>
      </w:pPr>
      <w:r>
        <w:t>本法律意见书一式{{copies}}份，经本所负责人及经办律师签字并加盖本所公章后生效。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{{law_firm_name}}（盖章）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负责人：{{responsible_lawyer}}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经办律师：{{handling_lawyer}}</w:t>
            </w:r>
          </w:p>
        </w:tc>
      </w:tr>
    </w:tbl>
    <w:p/>
    <w:p>
      <w:pPr>
        <w:jc w:val="right"/>
      </w:pPr>
      <w:r>
        <w:t>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