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_Toc3356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_Toc3356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_Toc1558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_Toc1558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_Toc21981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_Toc21981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_Toc7002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_Toc7002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_Toc15771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_Toc15771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_Toc2847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_Toc2847 </w:instrText>
          </w:r>
          <w:r>
            <w:fldChar w:fldCharType="separate"/>
          </w:r>
          <w:r>
            <w:t>6</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_Toc8300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_Toc8300 </w:instrText>
          </w:r>
          <w:r>
            <w:fldChar w:fldCharType="separate"/>
          </w:r>
          <w:r>
            <w:t>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_Toc22245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_Toc22245 </w:instrText>
          </w:r>
          <w:r>
            <w:fldChar w:fldCharType="separate"/>
          </w:r>
          <w:r>
            <w:t>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_Toc16528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_Toc16528 </w:instrText>
          </w:r>
          <w:r>
            <w:fldChar w:fldCharType="separate"/>
          </w:r>
          <w:r>
            <w:t>7</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_Toc19391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_Toc19391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_Toc17231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_Toc17231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_Toc31797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_Toc31797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_Toc29169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Device</w:t>
          </w:r>
          <w:r>
            <w:tab/>
          </w:r>
          <w:r>
            <w:fldChar w:fldCharType="begin"/>
          </w:r>
          <w:r>
            <w:instrText xml:space="preserve"> PAGEREF _Toc29169 </w:instrText>
          </w:r>
          <w:r>
            <w:fldChar w:fldCharType="separate"/>
          </w:r>
          <w:r>
            <w:t>10</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_Toc29157 </w:instrText>
          </w:r>
          <w:r>
            <w:rPr>
              <w:rFonts w:ascii="微软雅黑" w:hAnsi="微软雅黑" w:eastAsia="微软雅黑"/>
              <w:bCs/>
              <w:lang w:val="zh-CN"/>
            </w:rPr>
            <w:fldChar w:fldCharType="separate"/>
          </w:r>
          <w:r>
            <w:rPr>
              <w:rFonts w:ascii="微软雅黑" w:hAnsi="微软雅黑" w:eastAsia="微软雅黑"/>
            </w:rPr>
            <w:t xml:space="preserve">5. </w:t>
          </w:r>
          <w:r>
            <w:rPr>
              <w:rFonts w:ascii="微软雅黑" w:hAnsi="微软雅黑" w:eastAsia="微软雅黑"/>
              <w:lang w:val="zh-TW" w:eastAsia="zh-TW"/>
            </w:rPr>
            <w:t>Notes</w:t>
          </w:r>
          <w:r>
            <w:tab/>
          </w:r>
          <w:r>
            <w:fldChar w:fldCharType="begin"/>
          </w:r>
          <w:r>
            <w:instrText xml:space="preserve"> PAGEREF _Toc29157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_Toc18245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hint="eastAsia"/>
              <w:lang w:val="en-US" w:eastAsia="zh-CN"/>
            </w:rPr>
            <w:t>Unity Setting</w:t>
          </w:r>
          <w:r>
            <w:tab/>
          </w:r>
          <w:r>
            <w:fldChar w:fldCharType="begin"/>
          </w:r>
          <w:r>
            <w:instrText xml:space="preserve"> PAGEREF _Toc18245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_Toc7519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Set Origin</w:t>
          </w:r>
          <w:r>
            <w:tab/>
          </w:r>
          <w:r>
            <w:fldChar w:fldCharType="begin"/>
          </w:r>
          <w:r>
            <w:instrText xml:space="preserve"> PAGEREF _Toc7519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_Toc22162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_Toc22162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_Toc32224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_Toc32224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_Toc16110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lang w:val="zh-TW" w:eastAsia="zh-TW"/>
            </w:rPr>
            <w:t>Reset Orientation</w:t>
          </w:r>
          <w:r>
            <w:tab/>
          </w:r>
          <w:r>
            <w:fldChar w:fldCharType="begin"/>
          </w:r>
          <w:r>
            <w:instrText xml:space="preserve"> PAGEREF _Toc16110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_Toc1999 </w:instrText>
          </w:r>
          <w:r>
            <w:rPr>
              <w:rFonts w:ascii="微软雅黑" w:hAnsi="微软雅黑" w:eastAsia="微软雅黑"/>
              <w:bCs/>
              <w:lang w:val="zh-CN"/>
            </w:rPr>
            <w:fldChar w:fldCharType="separate"/>
          </w:r>
          <w:r>
            <w:rPr>
              <w:rFonts w:hint="default" w:ascii="黑体" w:hAnsi="黑体" w:cs="黑体" w:eastAsiaTheme="minorEastAsia"/>
            </w:rPr>
            <w:t xml:space="preserve">5.6 </w:t>
          </w:r>
          <w:r>
            <w:rPr>
              <w:rFonts w:ascii="微软雅黑" w:hAnsi="微软雅黑" w:eastAsia="微软雅黑" w:cs="黑体"/>
              <w:lang w:val="zh-TW" w:eastAsia="zh-TW"/>
            </w:rPr>
            <w:t>Set Turn-around Key</w:t>
          </w:r>
          <w:r>
            <w:tab/>
          </w:r>
          <w:r>
            <w:fldChar w:fldCharType="begin"/>
          </w:r>
          <w:r>
            <w:instrText xml:space="preserve"> PAGEREF _Toc1999 </w:instrText>
          </w:r>
          <w:r>
            <w:fldChar w:fldCharType="separate"/>
          </w:r>
          <w:r>
            <w:t>13</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10190592"/>
      <w:bookmarkStart w:id="1" w:name="_Toc3356"/>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510190593"/>
      <w:bookmarkStart w:id="3" w:name="_Toc1558"/>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21981"/>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Developers are required to prepare a Unity 5.6 or higher edition of NOLO VR Unity SDK.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7002"/>
      <w:r>
        <w:rPr>
          <w:rStyle w:val="24"/>
          <w:rFonts w:hint="eastAsia" w:ascii="微软雅黑" w:hAnsi="微软雅黑" w:eastAsia="微软雅黑"/>
          <w:sz w:val="44"/>
          <w:szCs w:val="44"/>
          <w:lang w:val="zh-TW" w:eastAsia="zh-TW"/>
        </w:rPr>
        <w:t>Instructions</w:t>
      </w:r>
      <w:bookmarkEnd w:id="5"/>
    </w:p>
    <w:p>
      <w:pPr>
        <w:pStyle w:val="3"/>
        <w:rPr>
          <w:lang w:val="zh-TW" w:eastAsia="zh-TW"/>
        </w:rPr>
      </w:pPr>
      <w:bookmarkStart w:id="6" w:name="_Toc15771"/>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eastAsia="黑体"/>
          <w:lang w:val="en-US" w:eastAsia="zh-CN"/>
        </w:rPr>
      </w:pPr>
      <w:r>
        <w:rPr>
          <w:rFonts w:hint="eastAsia"/>
          <w:lang w:val="en-US" w:eastAsia="zh-CN"/>
        </w:rPr>
        <w:t>（1）</w:t>
      </w:r>
      <w:r>
        <w:rPr>
          <w:rFonts w:hint="eastAsia" w:ascii="微软雅黑" w:hAnsi="微软雅黑"/>
          <w:lang w:val="en-US" w:eastAsia="zh-CN"/>
        </w:rPr>
        <w:t>A</w:t>
      </w:r>
      <w:r>
        <w:rPr>
          <w:rFonts w:ascii="微软雅黑" w:hAnsi="微软雅黑"/>
        </w:rPr>
        <w:t>ll-in-one</w:t>
      </w:r>
      <w:r>
        <w:rPr>
          <w:rFonts w:hint="eastAsia" w:ascii="微软雅黑" w:hAnsi="微软雅黑"/>
          <w:lang w:val="en-US" w:eastAsia="zh-CN"/>
        </w:rPr>
        <w:t xml:space="preserve"> project</w:t>
      </w:r>
    </w:p>
    <w:p>
      <w:pPr>
        <w:ind w:firstLine="420"/>
        <w:rPr>
          <w:rFonts w:ascii="微软雅黑" w:hAnsi="微软雅黑" w:eastAsia="微软雅黑"/>
        </w:rPr>
      </w:pPr>
      <w:r>
        <w:t xml:space="preserve">1) </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ascii="微软雅黑" w:hAnsi="微软雅黑"/>
        </w:rPr>
        <w:t>2) Create a new scenario and put NVR/Prefabs/NoloManager</w:t>
      </w:r>
      <w:r>
        <w:rPr>
          <w:rFonts w:hint="eastAsia" w:ascii="微软雅黑" w:hAnsi="微软雅黑"/>
          <w:lang w:val="en-US" w:eastAsia="zh-CN"/>
        </w:rPr>
        <w:t>_SQ</w:t>
      </w:r>
      <w:r>
        <w:rPr>
          <w:rFonts w:ascii="微软雅黑" w:hAnsi="微软雅黑"/>
        </w:rPr>
        <w:t xml:space="preserve"> into it and save.</w:t>
      </w:r>
    </w:p>
    <w:p>
      <w:pPr>
        <w:ind w:firstLine="420"/>
        <w:rPr>
          <w:rFonts w:ascii="微软雅黑" w:hAnsi="微软雅黑"/>
        </w:rPr>
      </w:pPr>
      <w:r>
        <w:rPr>
          <w:rFonts w:ascii="微软雅黑" w:hAnsi="微软雅黑"/>
        </w:rPr>
        <w:t>3) Fill the Appkey in the following location</w:t>
      </w:r>
    </w:p>
    <w:p>
      <w:pPr>
        <w:jc w:val="both"/>
        <w:rPr>
          <w:rFonts w:ascii="微软雅黑" w:hAnsi="微软雅黑"/>
        </w:rPr>
      </w:pPr>
      <w:r>
        <w:drawing>
          <wp:inline distT="0" distB="0" distL="114300" distR="114300">
            <wp:extent cx="5263515" cy="2749550"/>
            <wp:effectExtent l="0" t="0" r="9525" b="889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2"/>
        </w:numPr>
        <w:ind w:firstLine="420"/>
        <w:rPr>
          <w:rFonts w:ascii="微软雅黑" w:hAnsi="微软雅黑"/>
        </w:rPr>
      </w:pPr>
      <w:r>
        <w:rPr>
          <w:rFonts w:ascii="微软雅黑" w:hAnsi="微软雅黑"/>
        </w:rPr>
        <w:t>Player Settings: The orientation must be set to 'Landscape Left' in 'Resolution and Presentation', while the 'Multithreaded Rendering' must be set to unavailable in 'Other Settings'.</w:t>
      </w:r>
    </w:p>
    <w:p>
      <w:pPr>
        <w:jc w:val="both"/>
      </w:pPr>
      <w:r>
        <w:drawing>
          <wp:inline distT="0" distB="0" distL="114300" distR="114300">
            <wp:extent cx="2418715" cy="1864995"/>
            <wp:effectExtent l="0" t="0" r="444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2418715" cy="1864995"/>
                    </a:xfrm>
                    <a:prstGeom prst="rect">
                      <a:avLst/>
                    </a:prstGeom>
                    <a:noFill/>
                    <a:ln w="9525">
                      <a:noFill/>
                    </a:ln>
                  </pic:spPr>
                </pic:pic>
              </a:graphicData>
            </a:graphic>
          </wp:inline>
        </w:drawing>
      </w:r>
      <w:r>
        <w:drawing>
          <wp:inline distT="0" distB="0" distL="114300" distR="114300">
            <wp:extent cx="2437765" cy="1884680"/>
            <wp:effectExtent l="0" t="0" r="635"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2437765" cy="1884680"/>
                    </a:xfrm>
                    <a:prstGeom prst="rect">
                      <a:avLst/>
                    </a:prstGeom>
                    <a:noFill/>
                    <a:ln w="9525">
                      <a:noFill/>
                    </a:ln>
                  </pic:spPr>
                </pic:pic>
              </a:graphicData>
            </a:graphic>
          </wp:inline>
        </w:drawing>
      </w:r>
    </w:p>
    <w:p>
      <w:pPr>
        <w:numPr>
          <w:ilvl w:val="0"/>
          <w:numId w:val="0"/>
        </w:numPr>
        <w:rPr>
          <w:rFonts w:hint="eastAsia" w:ascii="微软雅黑" w:hAnsi="微软雅黑"/>
        </w:rPr>
      </w:pPr>
    </w:p>
    <w:p>
      <w:pPr>
        <w:numPr>
          <w:ilvl w:val="0"/>
          <w:numId w:val="2"/>
        </w:numPr>
        <w:ind w:left="0" w:leftChars="0" w:firstLine="420" w:firstLineChars="0"/>
        <w:rPr>
          <w:rFonts w:ascii="微软雅黑" w:hAnsi="微软雅黑"/>
        </w:rPr>
      </w:pPr>
      <w:r>
        <w:rPr>
          <w:rFonts w:ascii="微软雅黑" w:hAnsi="微软雅黑"/>
        </w:rPr>
        <w:t>Quality Settings: In 'Rendering', the 'Anisotropic Textures' is set to 'Per Texture', and 'Anti Aliasing' to 'Disabled'. 'Sync Count' is set to 'Don't Sync' in 'Other'.</w:t>
      </w:r>
    </w:p>
    <w:p>
      <w:pPr>
        <w:ind w:firstLine="480" w:firstLineChars="200"/>
        <w:jc w:val="both"/>
      </w:pPr>
      <w:r>
        <w:drawing>
          <wp:inline distT="0" distB="0" distL="114300" distR="114300">
            <wp:extent cx="4152900" cy="1104900"/>
            <wp:effectExtent l="0" t="0" r="762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4152900" cy="1104900"/>
                    </a:xfrm>
                    <a:prstGeom prst="rect">
                      <a:avLst/>
                    </a:prstGeom>
                    <a:noFill/>
                    <a:ln w="9525">
                      <a:noFill/>
                    </a:ln>
                  </pic:spPr>
                </pic:pic>
              </a:graphicData>
            </a:graphic>
          </wp:inline>
        </w:drawing>
      </w:r>
    </w:p>
    <w:p>
      <w:pPr>
        <w:ind w:firstLine="480" w:firstLineChars="200"/>
        <w:jc w:val="both"/>
        <w:rPr>
          <w:rFonts w:hint="eastAsia"/>
          <w:lang w:val="en-US" w:eastAsia="zh-CN"/>
        </w:rPr>
      </w:pPr>
      <w:r>
        <w:drawing>
          <wp:inline distT="0" distB="0" distL="114300" distR="114300">
            <wp:extent cx="4137660" cy="899160"/>
            <wp:effectExtent l="0" t="0" r="762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0"/>
                    <a:stretch>
                      <a:fillRect/>
                    </a:stretch>
                  </pic:blipFill>
                  <pic:spPr>
                    <a:xfrm>
                      <a:off x="0" y="0"/>
                      <a:ext cx="4137660" cy="899160"/>
                    </a:xfrm>
                    <a:prstGeom prst="rect">
                      <a:avLst/>
                    </a:prstGeom>
                    <a:noFill/>
                    <a:ln w="9525">
                      <a:noFill/>
                    </a:ln>
                  </pic:spPr>
                </pic:pic>
              </a:graphicData>
            </a:graphic>
          </wp:inline>
        </w:drawing>
      </w:r>
    </w:p>
    <w:p>
      <w:pPr>
        <w:numPr>
          <w:ilvl w:val="0"/>
          <w:numId w:val="0"/>
        </w:numPr>
        <w:ind w:left="420" w:leftChars="0"/>
        <w:rPr>
          <w:rFonts w:ascii="微软雅黑" w:hAnsi="微软雅黑"/>
        </w:rPr>
      </w:pPr>
    </w:p>
    <w:p>
      <w:pPr>
        <w:numPr>
          <w:ilvl w:val="0"/>
          <w:numId w:val="2"/>
        </w:numPr>
        <w:ind w:left="0" w:leftChars="0" w:firstLine="420" w:firstLineChars="0"/>
        <w:rPr>
          <w:rFonts w:ascii="微软雅黑" w:hAnsi="微软雅黑"/>
        </w:rPr>
      </w:pPr>
      <w:r>
        <w:rPr>
          <w:rFonts w:ascii="微软雅黑" w:hAnsi="微软雅黑"/>
        </w:rPr>
        <w:t>Fill in the correct package name information to package the settings and send it to the mobile phone or all-in-one to run.</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2847"/>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initiate the NOLO Assistant and turn on other NOLO devices. After the power information of all NOLO devices is displayed on the NOLO Assistant,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8300"/>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22245"/>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16528"/>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19391"/>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17231"/>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31797"/>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29169"/>
      <w:r>
        <w:rPr>
          <w:rFonts w:ascii="微软雅黑" w:hAnsi="微软雅黑"/>
        </w:rPr>
        <w:t>Connection Status of Device</w:t>
      </w:r>
      <w:bookmarkEnd w:id="14"/>
    </w:p>
    <w:p>
      <w:pPr>
        <w:ind w:firstLine="480" w:firstLineChars="200"/>
        <w:rPr>
          <w:rFonts w:hint="eastAsia" w:eastAsiaTheme="minorEastAsia"/>
          <w:lang w:val="en-US" w:eastAsia="zh-CN"/>
        </w:rPr>
      </w:pPr>
      <w:r>
        <w:rPr>
          <w:rFonts w:hint="eastAsia" w:ascii="微软雅黑" w:hAnsi="微软雅黑" w:eastAsia="微软雅黑"/>
        </w:rPr>
        <w:t>NoloVR_Plugins.API.GetPoseByDeviceType(0).bDeviceIsConnected</w:t>
      </w:r>
    </w:p>
    <w:p>
      <w:pPr>
        <w:ind w:firstLine="480" w:firstLineChars="200"/>
        <w:rPr>
          <w:rFonts w:ascii="微软雅黑" w:hAnsi="微软雅黑" w:eastAsia="微软雅黑"/>
        </w:rPr>
      </w:pPr>
      <w:r>
        <w:rPr>
          <w:rFonts w:ascii="微软雅黑" w:hAnsi="微软雅黑"/>
        </w:rPr>
        <w:t>The parameter 0 represents the headset marker, 1 represents the left controller, 2 represents the right controller, and 3 represents the base station. This method only applies to the Android platforms.</w:t>
      </w:r>
    </w:p>
    <w:p/>
    <w:p>
      <w:pPr>
        <w:pStyle w:val="2"/>
        <w:rPr>
          <w:rFonts w:ascii="微软雅黑" w:hAnsi="微软雅黑" w:eastAsia="微软雅黑"/>
        </w:rPr>
      </w:pPr>
      <w:bookmarkStart w:id="15" w:name="_Toc29157"/>
      <w:r>
        <w:rPr>
          <w:rStyle w:val="24"/>
          <w:rFonts w:ascii="微软雅黑" w:hAnsi="微软雅黑" w:eastAsia="微软雅黑"/>
          <w:lang w:val="zh-TW" w:eastAsia="zh-TW"/>
        </w:rPr>
        <w:t>Notes</w:t>
      </w:r>
      <w:bookmarkEnd w:id="15"/>
    </w:p>
    <w:p>
      <w:pPr>
        <w:pStyle w:val="3"/>
      </w:pPr>
      <w:bookmarkStart w:id="16" w:name="_Toc18245"/>
      <w:r>
        <w:rPr>
          <w:rFonts w:hint="eastAsia"/>
          <w:lang w:val="en-US" w:eastAsia="zh-CN"/>
        </w:rPr>
        <w:t>Unity Setting</w:t>
      </w:r>
      <w:bookmarkEnd w:id="16"/>
    </w:p>
    <w:p>
      <w:pPr>
        <w:ind w:firstLine="420"/>
        <w:rPr>
          <w:rFonts w:ascii="微软雅黑" w:hAnsi="微软雅黑"/>
        </w:rPr>
      </w:pPr>
      <w:r>
        <w:rPr>
          <w:rFonts w:ascii="微软雅黑" w:hAnsi="微软雅黑"/>
        </w:rPr>
        <w:t>Player Settings: The orientation must be set to 'Landscape Left' in 'Resolution and Presentation', while the 'Multithreaded Rendering' must be set to unavailable in 'Other Settings'.</w:t>
      </w:r>
    </w:p>
    <w:p>
      <w:pPr>
        <w:jc w:val="center"/>
      </w:pPr>
      <w:r>
        <w:drawing>
          <wp:inline distT="0" distB="0" distL="114300" distR="114300">
            <wp:extent cx="2418715" cy="1864995"/>
            <wp:effectExtent l="0" t="0" r="444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418715" cy="1864995"/>
                    </a:xfrm>
                    <a:prstGeom prst="rect">
                      <a:avLst/>
                    </a:prstGeom>
                    <a:noFill/>
                    <a:ln w="9525">
                      <a:noFill/>
                    </a:ln>
                  </pic:spPr>
                </pic:pic>
              </a:graphicData>
            </a:graphic>
          </wp:inline>
        </w:drawing>
      </w:r>
      <w:r>
        <w:drawing>
          <wp:inline distT="0" distB="0" distL="114300" distR="114300">
            <wp:extent cx="2437765" cy="1884680"/>
            <wp:effectExtent l="0" t="0" r="635" b="50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2437765" cy="1884680"/>
                    </a:xfrm>
                    <a:prstGeom prst="rect">
                      <a:avLst/>
                    </a:prstGeom>
                    <a:noFill/>
                    <a:ln w="9525">
                      <a:noFill/>
                    </a:ln>
                  </pic:spPr>
                </pic:pic>
              </a:graphicData>
            </a:graphic>
          </wp:inline>
        </w:drawing>
      </w:r>
    </w:p>
    <w:p>
      <w:pPr>
        <w:rPr>
          <w:rFonts w:hint="eastAsia" w:ascii="微软雅黑" w:hAnsi="微软雅黑"/>
        </w:rPr>
      </w:pPr>
    </w:p>
    <w:p>
      <w:pPr>
        <w:ind w:firstLine="420"/>
        <w:rPr>
          <w:rFonts w:ascii="微软雅黑" w:hAnsi="微软雅黑"/>
        </w:rPr>
      </w:pPr>
      <w:r>
        <w:rPr>
          <w:rFonts w:ascii="微软雅黑" w:hAnsi="微软雅黑"/>
        </w:rPr>
        <w:t>Quality Settings: In 'Rendering', the 'Anisotropic Textures' is set to 'Per Texture', and 'Anti Aliasing' to 'Disabled'. 'Sync Count' is set to 'Don't Sync' in 'Other'.</w:t>
      </w:r>
    </w:p>
    <w:p>
      <w:pPr>
        <w:jc w:val="center"/>
      </w:pPr>
      <w:r>
        <w:drawing>
          <wp:inline distT="0" distB="0" distL="114300" distR="114300">
            <wp:extent cx="4152900" cy="110490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9"/>
                    <a:stretch>
                      <a:fillRect/>
                    </a:stretch>
                  </pic:blipFill>
                  <pic:spPr>
                    <a:xfrm>
                      <a:off x="0" y="0"/>
                      <a:ext cx="4152900" cy="1104900"/>
                    </a:xfrm>
                    <a:prstGeom prst="rect">
                      <a:avLst/>
                    </a:prstGeom>
                    <a:noFill/>
                    <a:ln w="9525">
                      <a:noFill/>
                    </a:ln>
                  </pic:spPr>
                </pic:pic>
              </a:graphicData>
            </a:graphic>
          </wp:inline>
        </w:drawing>
      </w:r>
    </w:p>
    <w:p>
      <w:pPr>
        <w:jc w:val="center"/>
        <w:rPr>
          <w:rFonts w:hint="eastAsia"/>
          <w:lang w:val="en-US" w:eastAsia="zh-CN"/>
        </w:rPr>
      </w:pPr>
      <w:r>
        <w:drawing>
          <wp:inline distT="0" distB="0" distL="114300" distR="114300">
            <wp:extent cx="4137660" cy="899160"/>
            <wp:effectExtent l="0" t="0" r="762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0"/>
                    <a:stretch>
                      <a:fillRect/>
                    </a:stretch>
                  </pic:blipFill>
                  <pic:spPr>
                    <a:xfrm>
                      <a:off x="0" y="0"/>
                      <a:ext cx="4137660" cy="899160"/>
                    </a:xfrm>
                    <a:prstGeom prst="rect">
                      <a:avLst/>
                    </a:prstGeom>
                    <a:noFill/>
                    <a:ln w="9525">
                      <a:noFill/>
                    </a:ln>
                  </pic:spPr>
                </pic:pic>
              </a:graphicData>
            </a:graphic>
          </wp:inline>
        </w:drawing>
      </w:r>
    </w:p>
    <w:p>
      <w:pPr>
        <w:ind w:firstLine="420"/>
        <w:rPr>
          <w:rFonts w:hint="eastAsia" w:ascii="微软雅黑" w:hAnsi="微软雅黑"/>
        </w:rPr>
      </w:pPr>
    </w:p>
    <w:p/>
    <w:p>
      <w:pPr>
        <w:pStyle w:val="3"/>
        <w:rPr>
          <w:rFonts w:ascii="微软雅黑" w:hAnsi="微软雅黑" w:eastAsia="微软雅黑"/>
        </w:rPr>
      </w:pPr>
      <w:bookmarkStart w:id="17" w:name="_Toc7519"/>
      <w:r>
        <w:rPr>
          <w:rStyle w:val="24"/>
          <w:rFonts w:ascii="微软雅黑" w:hAnsi="微软雅黑" w:eastAsia="微软雅黑" w:cs="黑体"/>
          <w:lang w:val="zh-TW" w:eastAsia="zh-TW"/>
        </w:rPr>
        <w:t>Set Origin</w:t>
      </w:r>
      <w:bookmarkEnd w:id="17"/>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18" w:name="_Toc22162"/>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18"/>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19" w:name="_Toc32224"/>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19"/>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420" w:firstLineChars="0"/>
        <w:jc w:val="both"/>
        <w:rPr>
          <w:rFonts w:ascii="微软雅黑" w:hAnsi="微软雅黑" w:eastAsia="微软雅黑"/>
        </w:rPr>
      </w:pPr>
      <w:r>
        <w:rPr>
          <w:rFonts w:hint="eastAsia" w:ascii="微软雅黑" w:hAnsi="微软雅黑" w:eastAsia="微软雅黑"/>
          <w:sz w:val="18"/>
          <w:szCs w:val="18"/>
        </w:rPr>
        <w:t>&lt;uses-permission android:name="android.permission.WRITE_APN_SETTINGS" /&gt;</w:t>
      </w: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pplication：</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&lt;meta-data android:name="com.picovr.type" android:value="vr"/&gt;</w:t>
      </w:r>
    </w:p>
    <w:p>
      <w:pPr>
        <w:ind w:firstLine="370"/>
        <w:jc w:val="both"/>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&lt;meta-data </w:t>
      </w:r>
    </w:p>
    <w:p>
      <w:pPr>
        <w:ind w:firstLine="370"/>
        <w:jc w:val="both"/>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android:name="com.deepoon.android.vr.application.mode" android:value="vr_only"/&gt;</w:t>
      </w:r>
    </w:p>
    <w:p>
      <w:pPr>
        <w:ind w:firstLine="370"/>
        <w:jc w:val="both"/>
        <w:rPr>
          <w:rFonts w:hint="eastAsia" w:ascii="微软雅黑" w:hAnsi="微软雅黑" w:eastAsia="微软雅黑"/>
          <w:sz w:val="18"/>
          <w:szCs w:val="18"/>
          <w:lang w:val="en-US" w:eastAsia="zh-CN"/>
        </w:rPr>
      </w:pPr>
      <w:bookmarkStart w:id="22" w:name="_GoBack"/>
      <w:bookmarkEnd w:id="22"/>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20" w:name="_Toc16110"/>
      <w:r>
        <w:rPr>
          <w:rFonts w:ascii="微软雅黑" w:hAnsi="微软雅黑" w:eastAsia="微软雅黑"/>
          <w:lang w:val="zh-TW" w:eastAsia="zh-TW"/>
        </w:rPr>
        <w:t>Reset Orientation</w:t>
      </w:r>
      <w:bookmarkEnd w:id="20"/>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1" w:name="_Toc1999"/>
      <w:r>
        <w:rPr>
          <w:rStyle w:val="24"/>
          <w:rFonts w:ascii="微软雅黑" w:hAnsi="微软雅黑" w:eastAsia="微软雅黑" w:cs="黑体"/>
          <w:lang w:val="zh-TW" w:eastAsia="zh-TW"/>
        </w:rPr>
        <w:t>Set Turn-around Key</w:t>
      </w:r>
      <w:bookmarkEnd w:id="21"/>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AE323"/>
    <w:multiLevelType w:val="singleLevel"/>
    <w:tmpl w:val="A73AE323"/>
    <w:lvl w:ilvl="0" w:tentative="0">
      <w:start w:val="4"/>
      <w:numFmt w:val="decimal"/>
      <w:suff w:val="space"/>
      <w:lvlText w:val="%1)"/>
      <w:lvlJc w:val="left"/>
    </w:lvl>
  </w:abstractNum>
  <w:abstractNum w:abstractNumId="1">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7470D"/>
    <w:rsid w:val="009B2840"/>
    <w:rsid w:val="00A36107"/>
    <w:rsid w:val="00A96582"/>
    <w:rsid w:val="00B43907"/>
    <w:rsid w:val="00BA61CE"/>
    <w:rsid w:val="00EC764F"/>
    <w:rsid w:val="01151D9C"/>
    <w:rsid w:val="02112754"/>
    <w:rsid w:val="022F566E"/>
    <w:rsid w:val="02634F88"/>
    <w:rsid w:val="03E87F53"/>
    <w:rsid w:val="047443F3"/>
    <w:rsid w:val="04A34F8C"/>
    <w:rsid w:val="05107126"/>
    <w:rsid w:val="07422B09"/>
    <w:rsid w:val="07B833AD"/>
    <w:rsid w:val="07F238D6"/>
    <w:rsid w:val="080A5D44"/>
    <w:rsid w:val="093B39D8"/>
    <w:rsid w:val="09AD6344"/>
    <w:rsid w:val="0C6B4784"/>
    <w:rsid w:val="0D306804"/>
    <w:rsid w:val="0DD80E92"/>
    <w:rsid w:val="0E0B7A9D"/>
    <w:rsid w:val="0E2F78E9"/>
    <w:rsid w:val="0E7D437F"/>
    <w:rsid w:val="0F2F27B1"/>
    <w:rsid w:val="10430B3C"/>
    <w:rsid w:val="10A44FAC"/>
    <w:rsid w:val="11360630"/>
    <w:rsid w:val="11F02412"/>
    <w:rsid w:val="13F923F0"/>
    <w:rsid w:val="141D57DE"/>
    <w:rsid w:val="14377585"/>
    <w:rsid w:val="14B35727"/>
    <w:rsid w:val="152A41B3"/>
    <w:rsid w:val="156A12BF"/>
    <w:rsid w:val="1582012B"/>
    <w:rsid w:val="163B7225"/>
    <w:rsid w:val="1678730C"/>
    <w:rsid w:val="176416EF"/>
    <w:rsid w:val="18383CD7"/>
    <w:rsid w:val="18EA680F"/>
    <w:rsid w:val="194000E4"/>
    <w:rsid w:val="197375D1"/>
    <w:rsid w:val="19F6598C"/>
    <w:rsid w:val="1A0E78D0"/>
    <w:rsid w:val="1A207187"/>
    <w:rsid w:val="1A2D66CC"/>
    <w:rsid w:val="1A444083"/>
    <w:rsid w:val="1AA44990"/>
    <w:rsid w:val="1AE34A46"/>
    <w:rsid w:val="1B2567D8"/>
    <w:rsid w:val="1C0F12F8"/>
    <w:rsid w:val="1DA71B6E"/>
    <w:rsid w:val="1DCF07BE"/>
    <w:rsid w:val="1DD069A1"/>
    <w:rsid w:val="1DD10E83"/>
    <w:rsid w:val="1EEF28EA"/>
    <w:rsid w:val="1F3912B6"/>
    <w:rsid w:val="1FBF5BF3"/>
    <w:rsid w:val="200F1A58"/>
    <w:rsid w:val="202F4225"/>
    <w:rsid w:val="20E12C41"/>
    <w:rsid w:val="217B2D9D"/>
    <w:rsid w:val="21BB7E81"/>
    <w:rsid w:val="21FA0977"/>
    <w:rsid w:val="220D0C3D"/>
    <w:rsid w:val="238F1B7D"/>
    <w:rsid w:val="239C5B07"/>
    <w:rsid w:val="23F2016A"/>
    <w:rsid w:val="24BA2AAC"/>
    <w:rsid w:val="2566799A"/>
    <w:rsid w:val="25D1795B"/>
    <w:rsid w:val="25EE021C"/>
    <w:rsid w:val="26F55403"/>
    <w:rsid w:val="27A50008"/>
    <w:rsid w:val="27DA0519"/>
    <w:rsid w:val="2942030F"/>
    <w:rsid w:val="29A219F2"/>
    <w:rsid w:val="2A4572DF"/>
    <w:rsid w:val="2A900B62"/>
    <w:rsid w:val="2C1821B7"/>
    <w:rsid w:val="2DD71455"/>
    <w:rsid w:val="2F236A39"/>
    <w:rsid w:val="2F327C4A"/>
    <w:rsid w:val="2F9376F8"/>
    <w:rsid w:val="2FB7110D"/>
    <w:rsid w:val="301125F2"/>
    <w:rsid w:val="3070769A"/>
    <w:rsid w:val="30A9603D"/>
    <w:rsid w:val="315B4F97"/>
    <w:rsid w:val="31A00CE6"/>
    <w:rsid w:val="33443FD1"/>
    <w:rsid w:val="335313AD"/>
    <w:rsid w:val="33DD76A8"/>
    <w:rsid w:val="340E3D16"/>
    <w:rsid w:val="353B5B7E"/>
    <w:rsid w:val="360D3620"/>
    <w:rsid w:val="362125C5"/>
    <w:rsid w:val="366C63A8"/>
    <w:rsid w:val="36FF686E"/>
    <w:rsid w:val="384234A9"/>
    <w:rsid w:val="389334E6"/>
    <w:rsid w:val="398C6EAF"/>
    <w:rsid w:val="39CA1828"/>
    <w:rsid w:val="39EC2C1A"/>
    <w:rsid w:val="3A103841"/>
    <w:rsid w:val="3C9F04B0"/>
    <w:rsid w:val="3D243E79"/>
    <w:rsid w:val="3D527CCA"/>
    <w:rsid w:val="3DF2474F"/>
    <w:rsid w:val="3E84784A"/>
    <w:rsid w:val="40990CD6"/>
    <w:rsid w:val="41513F60"/>
    <w:rsid w:val="41AA4F6D"/>
    <w:rsid w:val="422020BF"/>
    <w:rsid w:val="42987ADF"/>
    <w:rsid w:val="42A8459D"/>
    <w:rsid w:val="44376D6D"/>
    <w:rsid w:val="46D82FDE"/>
    <w:rsid w:val="47726ABE"/>
    <w:rsid w:val="47D75FD7"/>
    <w:rsid w:val="47DB7507"/>
    <w:rsid w:val="47EF742B"/>
    <w:rsid w:val="484710B6"/>
    <w:rsid w:val="48C6491B"/>
    <w:rsid w:val="497725D2"/>
    <w:rsid w:val="4BDA7333"/>
    <w:rsid w:val="4CFA3FC8"/>
    <w:rsid w:val="4FB73850"/>
    <w:rsid w:val="4FB91A90"/>
    <w:rsid w:val="503D5FE4"/>
    <w:rsid w:val="508C142A"/>
    <w:rsid w:val="51FE446C"/>
    <w:rsid w:val="5265255F"/>
    <w:rsid w:val="53695735"/>
    <w:rsid w:val="53750A2C"/>
    <w:rsid w:val="54F91760"/>
    <w:rsid w:val="555C7557"/>
    <w:rsid w:val="566501D2"/>
    <w:rsid w:val="571E6E08"/>
    <w:rsid w:val="572D2724"/>
    <w:rsid w:val="57424172"/>
    <w:rsid w:val="578C7B34"/>
    <w:rsid w:val="599D36B4"/>
    <w:rsid w:val="5A127855"/>
    <w:rsid w:val="5A15302D"/>
    <w:rsid w:val="5B6B2CA6"/>
    <w:rsid w:val="5C4320E6"/>
    <w:rsid w:val="5CE17770"/>
    <w:rsid w:val="60ED2977"/>
    <w:rsid w:val="613B5098"/>
    <w:rsid w:val="61B16906"/>
    <w:rsid w:val="61C7305E"/>
    <w:rsid w:val="62346ABD"/>
    <w:rsid w:val="63595DAF"/>
    <w:rsid w:val="636C21C5"/>
    <w:rsid w:val="65795F7B"/>
    <w:rsid w:val="65D73706"/>
    <w:rsid w:val="663A0A9C"/>
    <w:rsid w:val="674C35B1"/>
    <w:rsid w:val="676261BB"/>
    <w:rsid w:val="68367C81"/>
    <w:rsid w:val="68CA5905"/>
    <w:rsid w:val="6970018A"/>
    <w:rsid w:val="698A7F7A"/>
    <w:rsid w:val="6A47591A"/>
    <w:rsid w:val="6B2D28E4"/>
    <w:rsid w:val="6D0E5C26"/>
    <w:rsid w:val="6D827C48"/>
    <w:rsid w:val="6D856316"/>
    <w:rsid w:val="6EA46546"/>
    <w:rsid w:val="6EB61216"/>
    <w:rsid w:val="6F096DF6"/>
    <w:rsid w:val="6F10168B"/>
    <w:rsid w:val="704B6165"/>
    <w:rsid w:val="70B3531A"/>
    <w:rsid w:val="7288321F"/>
    <w:rsid w:val="74F531BE"/>
    <w:rsid w:val="76207B2E"/>
    <w:rsid w:val="77AA399F"/>
    <w:rsid w:val="77B864F1"/>
    <w:rsid w:val="77F264E4"/>
    <w:rsid w:val="783E6BE2"/>
    <w:rsid w:val="78F032B4"/>
    <w:rsid w:val="7A195DA0"/>
    <w:rsid w:val="7A4E4A77"/>
    <w:rsid w:val="7A762663"/>
    <w:rsid w:val="7AB72664"/>
    <w:rsid w:val="7B0378F8"/>
    <w:rsid w:val="7C220E85"/>
    <w:rsid w:val="7C48456E"/>
    <w:rsid w:val="7C762D47"/>
    <w:rsid w:val="7C7954A5"/>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2019-04-12T09:09:22Z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