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bookmarkStart w:id="21" w:name="_GoBack"/>
          <w:bookmarkEnd w:id="21"/>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_Toc13374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_Toc13374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_Toc550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_Toc550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_Toc20626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_Toc20626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_Toc21656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_Toc21656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_Toc29594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_Toc29594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_Toc27272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_Toc27272 </w:instrText>
          </w:r>
          <w:r>
            <w:fldChar w:fldCharType="separate"/>
          </w:r>
          <w:r>
            <w:t>9</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_Toc19022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_Toc19022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_Toc23549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_Toc23549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_Toc22493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_Toc22493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_Toc17825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_Toc17825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_Toc15262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_Toc15262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_Toc12665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_Toc12665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_Toc18272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Device</w:t>
          </w:r>
          <w:r>
            <w:tab/>
          </w:r>
          <w:r>
            <w:fldChar w:fldCharType="begin"/>
          </w:r>
          <w:r>
            <w:instrText xml:space="preserve"> PAGEREF _Toc18272 </w:instrText>
          </w:r>
          <w:r>
            <w:fldChar w:fldCharType="separate"/>
          </w:r>
          <w:r>
            <w:t>13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_Toc25205 </w:instrText>
          </w:r>
          <w:r>
            <w:rPr>
              <w:rFonts w:ascii="微软雅黑" w:hAnsi="微软雅黑" w:eastAsia="微软雅黑"/>
              <w:bCs/>
              <w:lang w:val="zh-CN"/>
            </w:rPr>
            <w:fldChar w:fldCharType="separate"/>
          </w:r>
          <w:r>
            <w:t xml:space="preserve">5. </w:t>
          </w:r>
          <w:r>
            <w:rPr>
              <w:rFonts w:ascii="微软雅黑" w:hAnsi="微软雅黑" w:eastAsia="微软雅黑"/>
              <w:lang w:val="zh-TW" w:eastAsia="zh-TW"/>
            </w:rPr>
            <w:t>Notes</w:t>
          </w:r>
          <w:r>
            <w:tab/>
          </w:r>
          <w:r>
            <w:fldChar w:fldCharType="begin"/>
          </w:r>
          <w:r>
            <w:instrText xml:space="preserve"> PAGEREF _Toc25205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_Toc29000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ascii="微软雅黑" w:hAnsi="微软雅黑" w:eastAsia="微软雅黑" w:cs="黑体"/>
              <w:lang w:val="zh-TW" w:eastAsia="zh-TW"/>
            </w:rPr>
            <w:t>Set Origin</w:t>
          </w:r>
          <w:r>
            <w:tab/>
          </w:r>
          <w:r>
            <w:fldChar w:fldCharType="begin"/>
          </w:r>
          <w:r>
            <w:instrText xml:space="preserve"> PAGEREF _Toc29000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_Toc336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_Toc336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_Toc17827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_Toc17827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_Toc23959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lang w:val="zh-TW" w:eastAsia="zh-TW"/>
            </w:rPr>
            <w:t>Reset Orientation</w:t>
          </w:r>
          <w:r>
            <w:tab/>
          </w:r>
          <w:r>
            <w:fldChar w:fldCharType="begin"/>
          </w:r>
          <w:r>
            <w:instrText xml:space="preserve"> PAGEREF _Toc23959 </w:instrText>
          </w:r>
          <w:r>
            <w:fldChar w:fldCharType="separate"/>
          </w:r>
          <w:r>
            <w:t>15</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_Toc24669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cs="黑体"/>
              <w:lang w:val="zh-TW" w:eastAsia="zh-TW"/>
            </w:rPr>
            <w:t>Set Turn-around Key</w:t>
          </w:r>
          <w:r>
            <w:tab/>
          </w:r>
          <w:r>
            <w:fldChar w:fldCharType="begin"/>
          </w:r>
          <w:r>
            <w:instrText xml:space="preserve"> PAGEREF _Toc24669 </w:instrText>
          </w:r>
          <w:r>
            <w:fldChar w:fldCharType="separate"/>
          </w:r>
          <w:r>
            <w:t>16</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13374"/>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510190593"/>
      <w:bookmarkStart w:id="3" w:name="_Toc550"/>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0626"/>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 xml:space="preserve">Developers are required to prepare a </w:t>
      </w:r>
      <w:r>
        <w:rPr>
          <w:rFonts w:hint="eastAsia" w:ascii="微软雅黑" w:hAnsi="微软雅黑" w:eastAsia="微软雅黑"/>
        </w:rPr>
        <w:t>Unity 2017.1.0~2018.3.3f1</w:t>
      </w:r>
      <w:r>
        <w:rPr>
          <w:rFonts w:hint="eastAsia" w:ascii="微软雅黑" w:hAnsi="微软雅黑" w:eastAsia="微软雅黑"/>
          <w:lang w:eastAsia="zh-CN"/>
        </w:rPr>
        <w:t xml:space="preserve">，Recommended </w:t>
      </w:r>
      <w:r>
        <w:rPr>
          <w:rFonts w:hint="eastAsia" w:ascii="微软雅黑" w:hAnsi="微软雅黑" w:eastAsia="微软雅黑"/>
          <w:lang w:val="en-US" w:eastAsia="zh-CN"/>
        </w:rPr>
        <w:t>u</w:t>
      </w:r>
      <w:r>
        <w:rPr>
          <w:rFonts w:hint="eastAsia" w:ascii="微软雅黑" w:hAnsi="微软雅黑" w:eastAsia="微软雅黑"/>
          <w:lang w:eastAsia="zh-CN"/>
        </w:rPr>
        <w:t>se</w:t>
      </w:r>
      <w:r>
        <w:rPr>
          <w:rFonts w:hint="eastAsia" w:ascii="微软雅黑" w:hAnsi="微软雅黑" w:eastAsia="微软雅黑"/>
          <w:lang w:val="en-US" w:eastAsia="zh-CN"/>
        </w:rPr>
        <w:t xml:space="preserve"> </w:t>
      </w:r>
      <w:r>
        <w:rPr>
          <w:rFonts w:hint="eastAsia" w:ascii="微软雅黑" w:hAnsi="微软雅黑" w:eastAsia="微软雅黑"/>
        </w:rPr>
        <w:t>Unity2017.3.1f1</w:t>
      </w:r>
      <w:r>
        <w:rPr>
          <w:rFonts w:hint="eastAsia" w:ascii="微软雅黑" w:hAnsi="微软雅黑" w:eastAsia="微软雅黑"/>
          <w:lang w:val="en-US" w:eastAsia="zh-CN"/>
        </w:rPr>
        <w:t>,</w:t>
      </w:r>
      <w:r>
        <w:rPr>
          <w:rFonts w:ascii="微软雅黑" w:hAnsi="微软雅黑"/>
        </w:rPr>
        <w:t xml:space="preserve"> </w:t>
      </w:r>
      <w:r>
        <w:rPr>
          <w:rFonts w:hint="eastAsia" w:ascii="微软雅黑" w:hAnsi="微软雅黑"/>
          <w:lang w:val="en-US" w:eastAsia="zh-CN"/>
        </w:rPr>
        <w:t>N</w:t>
      </w:r>
      <w:r>
        <w:rPr>
          <w:rFonts w:hint="eastAsia" w:ascii="微软雅黑" w:hAnsi="微软雅黑"/>
        </w:rPr>
        <w:t>ot support</w:t>
      </w:r>
      <w:r>
        <w:rPr>
          <w:rFonts w:hint="eastAsia" w:ascii="微软雅黑" w:hAnsi="微软雅黑"/>
          <w:lang w:val="en-US" w:eastAsia="zh-CN"/>
        </w:rPr>
        <w:t xml:space="preserve"> </w:t>
      </w:r>
      <w:r>
        <w:rPr>
          <w:rFonts w:hint="eastAsia" w:ascii="微软雅黑" w:hAnsi="微软雅黑" w:eastAsia="微软雅黑"/>
        </w:rPr>
        <w:t>2018.1.9f2</w:t>
      </w:r>
      <w:r>
        <w:rPr>
          <w:rFonts w:ascii="微软雅黑" w:hAnsi="微软雅黑"/>
        </w:rPr>
        <w:t>.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21656"/>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29594"/>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eastAsia="黑体"/>
          <w:lang w:val="en-US" w:eastAsia="zh-CN"/>
        </w:rPr>
      </w:pPr>
      <w:r>
        <w:rPr>
          <w:rFonts w:hint="eastAsia"/>
          <w:lang w:val="en-US" w:eastAsia="zh-CN"/>
        </w:rPr>
        <w:t>（1）</w:t>
      </w:r>
      <w:r>
        <w:rPr>
          <w:rFonts w:hint="eastAsia" w:ascii="微软雅黑" w:hAnsi="微软雅黑"/>
          <w:lang w:val="en-US" w:eastAsia="zh-CN"/>
        </w:rPr>
        <w:t>A</w:t>
      </w:r>
      <w:r>
        <w:rPr>
          <w:rFonts w:ascii="微软雅黑" w:hAnsi="微软雅黑"/>
        </w:rPr>
        <w:t>ll-in-one</w:t>
      </w:r>
      <w:r>
        <w:rPr>
          <w:rFonts w:hint="eastAsia" w:ascii="微软雅黑" w:hAnsi="微软雅黑"/>
          <w:lang w:val="en-US" w:eastAsia="zh-CN"/>
        </w:rPr>
        <w:t xml:space="preserve"> project</w:t>
      </w:r>
    </w:p>
    <w:p>
      <w:pPr>
        <w:ind w:firstLine="420"/>
        <w:rPr>
          <w:rFonts w:ascii="微软雅黑" w:hAnsi="微软雅黑" w:eastAsia="微软雅黑"/>
        </w:rPr>
      </w:pPr>
      <w:r>
        <w:t xml:space="preserve">1) </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ascii="微软雅黑" w:hAnsi="微软雅黑"/>
        </w:rPr>
        <w:t>2) Create a new scenario and put NVR/Prefabs/NoloManager into it and save.</w:t>
      </w:r>
    </w:p>
    <w:p>
      <w:pPr>
        <w:ind w:firstLine="420"/>
        <w:rPr>
          <w:rFonts w:ascii="微软雅黑" w:hAnsi="微软雅黑"/>
        </w:rPr>
      </w:pPr>
      <w:r>
        <w:rPr>
          <w:rFonts w:ascii="微软雅黑" w:hAnsi="微软雅黑"/>
        </w:rPr>
        <w:t>3) Fill the Appkey in the following location</w:t>
      </w:r>
    </w:p>
    <w:p>
      <w:pPr>
        <w:jc w:val="both"/>
      </w:pPr>
      <w:r>
        <w:drawing>
          <wp:inline distT="0" distB="0" distL="114300" distR="114300">
            <wp:extent cx="5263515" cy="2749550"/>
            <wp:effectExtent l="0" t="0" r="9525"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Quality Settings：for Levels choose Medium level of the Android Platform with Green Check.</w:t>
      </w:r>
    </w:p>
    <w:p>
      <w:pPr>
        <w:numPr>
          <w:ilvl w:val="0"/>
          <w:numId w:val="0"/>
        </w:numPr>
        <w:ind w:firstLine="420" w:firstLineChars="0"/>
        <w:jc w:val="center"/>
      </w:pPr>
      <w:r>
        <w:drawing>
          <wp:inline distT="0" distB="0" distL="114300" distR="114300">
            <wp:extent cx="3429000" cy="537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29000" cy="5379720"/>
                    </a:xfrm>
                    <a:prstGeom prst="rect">
                      <a:avLst/>
                    </a:prstGeom>
                    <a:noFill/>
                    <a:ln w="9525">
                      <a:noFill/>
                    </a:ln>
                  </pic:spPr>
                </pic:pic>
              </a:graphicData>
            </a:graphic>
          </wp:inline>
        </w:drawing>
      </w:r>
    </w:p>
    <w:p>
      <w:pPr>
        <w:numPr>
          <w:ilvl w:val="0"/>
          <w:numId w:val="0"/>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Note: In Levels settings, first let the gray bar select the row to mark green on the Android platform. Then set Anti Aliasing and V Sync Count. If you don't select the Android platform first, these two project settings will not work in the Android export package, resulting in the application running on a black screen.</w:t>
      </w:r>
    </w:p>
    <w:p>
      <w:pPr>
        <w:numPr>
          <w:ilvl w:val="0"/>
          <w:numId w:val="0"/>
        </w:numPr>
        <w:ind w:firstLine="420" w:firstLineChars="0"/>
        <w:jc w:val="both"/>
        <w:rPr>
          <w:rFonts w:hint="eastAsia" w:ascii="微软雅黑" w:hAnsi="微软雅黑" w:eastAsia="微软雅黑"/>
          <w:lang w:val="en-US" w:eastAsia="zh-CN"/>
        </w:rPr>
      </w:pPr>
    </w:p>
    <w:p>
      <w:pPr>
        <w:numPr>
          <w:ilvl w:val="0"/>
          <w:numId w:val="0"/>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Anti Aliasing： Adjustments can be made as needed. 4 multi sampling is recommended .</w:t>
      </w:r>
    </w:p>
    <w:p>
      <w:pPr>
        <w:numPr>
          <w:ilvl w:val="0"/>
          <w:numId w:val="0"/>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V Sync Count：Must set as Don’t Sync.</w:t>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Player Settings：</w:t>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Resolution and Presentation option, Default Orientation must be set as Landscape Left.</w:t>
      </w:r>
    </w:p>
    <w:p>
      <w:pPr>
        <w:numPr>
          <w:ilvl w:val="0"/>
          <w:numId w:val="0"/>
        </w:numPr>
        <w:ind w:left="420" w:leftChars="0"/>
        <w:jc w:val="center"/>
        <w:rPr>
          <w:rFonts w:hint="eastAsia" w:ascii="微软雅黑" w:hAnsi="微软雅黑" w:eastAsia="微软雅黑"/>
          <w:lang w:val="en-US" w:eastAsia="zh-CN"/>
        </w:rPr>
      </w:pPr>
      <w:r>
        <w:drawing>
          <wp:inline distT="0" distB="0" distL="114300" distR="114300">
            <wp:extent cx="3688080" cy="201930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688080" cy="2019300"/>
                    </a:xfrm>
                    <a:prstGeom prst="rect">
                      <a:avLst/>
                    </a:prstGeom>
                    <a:noFill/>
                    <a:ln w="9525">
                      <a:noFill/>
                    </a:ln>
                  </pic:spPr>
                </pic:pic>
              </a:graphicData>
            </a:graphic>
          </wp:inline>
        </w:drawing>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In Other Settings option，Don’t select GPU Skinning，API Level is Android 7.1，Write permission select SDCard.</w:t>
      </w:r>
    </w:p>
    <w:p>
      <w:pPr>
        <w:numPr>
          <w:ilvl w:val="0"/>
          <w:numId w:val="0"/>
        </w:numPr>
        <w:jc w:val="center"/>
      </w:pPr>
      <w:r>
        <w:drawing>
          <wp:inline distT="0" distB="0" distL="114300" distR="114300">
            <wp:extent cx="3337560" cy="5417820"/>
            <wp:effectExtent l="0" t="0" r="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3337560" cy="5417820"/>
                    </a:xfrm>
                    <a:prstGeom prst="rect">
                      <a:avLst/>
                    </a:prstGeom>
                    <a:noFill/>
                    <a:ln w="9525">
                      <a:noFill/>
                    </a:ln>
                  </pic:spPr>
                </pic:pic>
              </a:graphicData>
            </a:graphic>
          </wp:inline>
        </w:drawing>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In XR Settings option, select Virtual Reality Supported，Select “Mock HMD - Vive”，Set Stereo Rendering Methods as “Single Pass(Preview)”。</w:t>
      </w:r>
    </w:p>
    <w:p>
      <w:pPr>
        <w:numPr>
          <w:ilvl w:val="0"/>
          <w:numId w:val="0"/>
        </w:numPr>
        <w:ind w:left="420" w:leftChars="0" w:firstLine="420" w:firstLineChars="0"/>
        <w:jc w:val="center"/>
        <w:rPr>
          <w:rFonts w:hint="eastAsia" w:ascii="微软雅黑" w:hAnsi="微软雅黑" w:eastAsia="微软雅黑"/>
          <w:lang w:val="en-US" w:eastAsia="zh-CN"/>
        </w:rPr>
      </w:pPr>
      <w:r>
        <w:drawing>
          <wp:inline distT="0" distB="0" distL="114300" distR="114300">
            <wp:extent cx="4046220" cy="2049780"/>
            <wp:effectExtent l="0" t="0" r="7620"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4046220" cy="2049780"/>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Select default platform “Android”， (Build System) select “Internal” mode.</w:t>
      </w:r>
    </w:p>
    <w:p>
      <w:pPr>
        <w:numPr>
          <w:ilvl w:val="0"/>
          <w:numId w:val="0"/>
        </w:numPr>
        <w:jc w:val="center"/>
        <w:rPr>
          <w:rFonts w:hint="eastAsia" w:ascii="微软雅黑" w:hAnsi="微软雅黑" w:eastAsia="微软雅黑"/>
          <w:lang w:val="en-US" w:eastAsia="zh-CN"/>
        </w:rPr>
      </w:pPr>
      <w:r>
        <w:drawing>
          <wp:inline distT="0" distB="0" distL="114300" distR="114300">
            <wp:extent cx="4251960" cy="4099560"/>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1"/>
                    <a:stretch>
                      <a:fillRect/>
                    </a:stretch>
                  </pic:blipFill>
                  <pic:spPr>
                    <a:xfrm>
                      <a:off x="0" y="0"/>
                      <a:ext cx="4251960" cy="4099560"/>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 xml:space="preserve"> Blit Type setting: The setting of Blit Type will only be available in Unity2017.3 or higher. Here you need to set it manually. The S801 platform needs to be set to Never, and the S8000 and 901 platforms need to be set to Always.</w:t>
      </w:r>
    </w:p>
    <w:p>
      <w:pPr>
        <w:numPr>
          <w:ilvl w:val="0"/>
          <w:numId w:val="0"/>
        </w:numPr>
        <w:jc w:val="center"/>
        <w:rPr>
          <w:rFonts w:hint="eastAsia" w:ascii="微软雅黑" w:hAnsi="微软雅黑" w:eastAsia="微软雅黑"/>
          <w:lang w:val="en-US" w:eastAsia="zh-CN"/>
        </w:rPr>
      </w:pPr>
      <w:r>
        <w:drawing>
          <wp:inline distT="0" distB="0" distL="114300" distR="114300">
            <wp:extent cx="5269865" cy="2364105"/>
            <wp:effectExtent l="0" t="0" r="3175" b="133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2"/>
                    <a:stretch>
                      <a:fillRect/>
                    </a:stretch>
                  </pic:blipFill>
                  <pic:spPr>
                    <a:xfrm>
                      <a:off x="0" y="0"/>
                      <a:ext cx="5269865" cy="2364105"/>
                    </a:xfrm>
                    <a:prstGeom prst="rect">
                      <a:avLst/>
                    </a:prstGeom>
                    <a:noFill/>
                    <a:ln w="9525">
                      <a:noFill/>
                    </a:ln>
                  </pic:spPr>
                </pic:pic>
              </a:graphicData>
            </a:graphic>
          </wp:inline>
        </w:drawing>
      </w:r>
    </w:p>
    <w:p>
      <w:pPr>
        <w:numPr>
          <w:ilvl w:val="0"/>
          <w:numId w:val="2"/>
        </w:numPr>
        <w:ind w:firstLine="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Export to equipment operation</w:t>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Connect the device to the computer via USB. When connected to the computer, the battery icon of Launcher interface will be in the state of charging.</w:t>
      </w:r>
    </w:p>
    <w:p>
      <w:pPr>
        <w:numPr>
          <w:ilvl w:val="1"/>
          <w:numId w:val="2"/>
        </w:numPr>
        <w:ind w:left="840" w:leftChars="0" w:hanging="42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Click File - &gt; Build &amp; Run; and wait for the progress bar to finish！</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27272"/>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19022"/>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3549"/>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22493"/>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7825"/>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5262"/>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12665"/>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18272"/>
      <w:r>
        <w:rPr>
          <w:rFonts w:ascii="微软雅黑" w:hAnsi="微软雅黑"/>
        </w:rPr>
        <w:t>Connection Status of Device</w:t>
      </w:r>
      <w:bookmarkEnd w:id="14"/>
    </w:p>
    <w:p>
      <w:pPr>
        <w:ind w:firstLine="480" w:firstLineChars="200"/>
        <w:rPr>
          <w:rFonts w:hint="eastAsia" w:eastAsiaTheme="minorEastAsia"/>
          <w:lang w:val="en-US" w:eastAsia="zh-CN"/>
        </w:rPr>
      </w:pPr>
      <w:r>
        <w:rPr>
          <w:rFonts w:hint="eastAsia" w:ascii="微软雅黑" w:hAnsi="微软雅黑" w:eastAsia="微软雅黑"/>
        </w:rPr>
        <w:t>NoloVR_Plugins.API.GetPoseByDeviceType(0).bDeviceIsConnected</w:t>
      </w:r>
    </w:p>
    <w:p>
      <w:pPr>
        <w:ind w:firstLine="480" w:firstLineChars="200"/>
        <w:rPr>
          <w:rFonts w:ascii="微软雅黑" w:hAnsi="微软雅黑" w:eastAsia="微软雅黑"/>
        </w:rPr>
      </w:pPr>
      <w:r>
        <w:rPr>
          <w:rFonts w:ascii="微软雅黑" w:hAnsi="微软雅黑"/>
        </w:rPr>
        <w:t>The parameter 0 represents the headset marker, 1 represents the left controller, 2 represents the right controller, and 3 represents the base station. This method only applies to the Android platforms.</w:t>
      </w:r>
    </w:p>
    <w:p/>
    <w:p>
      <w:pPr>
        <w:pStyle w:val="2"/>
      </w:pPr>
      <w:bookmarkStart w:id="15" w:name="_Toc25205"/>
      <w:r>
        <w:rPr>
          <w:rStyle w:val="24"/>
          <w:rFonts w:ascii="微软雅黑" w:hAnsi="微软雅黑" w:eastAsia="微软雅黑"/>
          <w:lang w:val="zh-TW" w:eastAsia="zh-TW"/>
        </w:rPr>
        <w:t>Notes</w:t>
      </w:r>
      <w:bookmarkEnd w:id="15"/>
    </w:p>
    <w:p>
      <w:pPr>
        <w:pStyle w:val="3"/>
        <w:rPr>
          <w:rFonts w:ascii="微软雅黑" w:hAnsi="微软雅黑" w:eastAsia="微软雅黑"/>
        </w:rPr>
      </w:pPr>
      <w:bookmarkStart w:id="16" w:name="_Toc29000"/>
      <w:r>
        <w:rPr>
          <w:rStyle w:val="24"/>
          <w:rFonts w:ascii="微软雅黑" w:hAnsi="微软雅黑" w:eastAsia="微软雅黑" w:cs="黑体"/>
          <w:lang w:val="zh-TW" w:eastAsia="zh-TW"/>
        </w:rPr>
        <w:t>Set Origin</w:t>
      </w:r>
      <w:bookmarkEnd w:id="16"/>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7" w:name="_Toc336"/>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7"/>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8" w:name="_Toc17827"/>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8"/>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420" w:firstLineChars="0"/>
        <w:jc w:val="both"/>
        <w:rPr>
          <w:rFonts w:ascii="微软雅黑" w:hAnsi="微软雅黑" w:eastAsia="微软雅黑"/>
        </w:rPr>
      </w:pPr>
      <w:r>
        <w:rPr>
          <w:rFonts w:hint="eastAsia" w:ascii="微软雅黑" w:hAnsi="微软雅黑" w:eastAsia="微软雅黑"/>
          <w:sz w:val="18"/>
          <w:szCs w:val="18"/>
        </w:rPr>
        <w:t>&lt;uses-permission android:name="android.permission.WRITE_APN_SETTINGS" /&gt;</w:t>
      </w: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pplication：</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&lt;meta-data android:name="com.picovr.type" android:value="vr"/&gt;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19" w:name="_Toc23959"/>
      <w:r>
        <w:rPr>
          <w:rFonts w:ascii="微软雅黑" w:hAnsi="微软雅黑" w:eastAsia="微软雅黑"/>
          <w:lang w:val="zh-TW" w:eastAsia="zh-TW"/>
        </w:rPr>
        <w:t>Reset Orientation</w:t>
      </w:r>
      <w:bookmarkEnd w:id="19"/>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0" w:name="_Toc24669"/>
      <w:r>
        <w:rPr>
          <w:rStyle w:val="24"/>
          <w:rFonts w:ascii="微软雅黑" w:hAnsi="微软雅黑" w:eastAsia="微软雅黑" w:cs="黑体"/>
          <w:lang w:val="zh-TW" w:eastAsia="zh-TW"/>
        </w:rPr>
        <w:t>Set Turn-around Key</w:t>
      </w:r>
      <w:bookmarkEnd w:id="20"/>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D472B"/>
    <w:multiLevelType w:val="multilevel"/>
    <w:tmpl w:val="67AD472B"/>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5637F"/>
    <w:rsid w:val="0087470D"/>
    <w:rsid w:val="009B2840"/>
    <w:rsid w:val="00A36107"/>
    <w:rsid w:val="00A96582"/>
    <w:rsid w:val="00B43907"/>
    <w:rsid w:val="00BA61CE"/>
    <w:rsid w:val="00EC764F"/>
    <w:rsid w:val="01151D9C"/>
    <w:rsid w:val="016072A0"/>
    <w:rsid w:val="02112754"/>
    <w:rsid w:val="022F566E"/>
    <w:rsid w:val="02634F88"/>
    <w:rsid w:val="02D813AC"/>
    <w:rsid w:val="031B094A"/>
    <w:rsid w:val="03E447A4"/>
    <w:rsid w:val="03E87F53"/>
    <w:rsid w:val="047443F3"/>
    <w:rsid w:val="04A34F8C"/>
    <w:rsid w:val="05107126"/>
    <w:rsid w:val="06A455DC"/>
    <w:rsid w:val="07422B09"/>
    <w:rsid w:val="07B833AD"/>
    <w:rsid w:val="07F238D6"/>
    <w:rsid w:val="080A5D44"/>
    <w:rsid w:val="081A4E6A"/>
    <w:rsid w:val="093B39D8"/>
    <w:rsid w:val="096B3ECC"/>
    <w:rsid w:val="09AD6344"/>
    <w:rsid w:val="0C6B4784"/>
    <w:rsid w:val="0D306804"/>
    <w:rsid w:val="0DD62BC5"/>
    <w:rsid w:val="0DD80E92"/>
    <w:rsid w:val="0DF2734B"/>
    <w:rsid w:val="0E0B7A9D"/>
    <w:rsid w:val="0E2F78E9"/>
    <w:rsid w:val="0E7D437F"/>
    <w:rsid w:val="0EDD317C"/>
    <w:rsid w:val="0F2F27B1"/>
    <w:rsid w:val="10430B3C"/>
    <w:rsid w:val="106C2EE4"/>
    <w:rsid w:val="10906710"/>
    <w:rsid w:val="10A44FAC"/>
    <w:rsid w:val="10E204BF"/>
    <w:rsid w:val="112F000C"/>
    <w:rsid w:val="11334783"/>
    <w:rsid w:val="11360630"/>
    <w:rsid w:val="1204465C"/>
    <w:rsid w:val="12283713"/>
    <w:rsid w:val="131676C1"/>
    <w:rsid w:val="13B26CB8"/>
    <w:rsid w:val="13F923F0"/>
    <w:rsid w:val="141D57DE"/>
    <w:rsid w:val="14377585"/>
    <w:rsid w:val="14B35727"/>
    <w:rsid w:val="152767AE"/>
    <w:rsid w:val="152A41B3"/>
    <w:rsid w:val="156A12BF"/>
    <w:rsid w:val="1582012B"/>
    <w:rsid w:val="15E37D80"/>
    <w:rsid w:val="163B7225"/>
    <w:rsid w:val="1678730C"/>
    <w:rsid w:val="1757568E"/>
    <w:rsid w:val="17615707"/>
    <w:rsid w:val="176416EF"/>
    <w:rsid w:val="180A643F"/>
    <w:rsid w:val="18383CD7"/>
    <w:rsid w:val="18EA680F"/>
    <w:rsid w:val="194000E4"/>
    <w:rsid w:val="1967246E"/>
    <w:rsid w:val="197375D1"/>
    <w:rsid w:val="19A66A09"/>
    <w:rsid w:val="19F6598C"/>
    <w:rsid w:val="1A0E78D0"/>
    <w:rsid w:val="1A1E6D1A"/>
    <w:rsid w:val="1A207187"/>
    <w:rsid w:val="1A2D66CC"/>
    <w:rsid w:val="1A444083"/>
    <w:rsid w:val="1AA44990"/>
    <w:rsid w:val="1AE34A46"/>
    <w:rsid w:val="1B2567D8"/>
    <w:rsid w:val="1B2A0F91"/>
    <w:rsid w:val="1B2E49DE"/>
    <w:rsid w:val="1B423AF7"/>
    <w:rsid w:val="1BA867D1"/>
    <w:rsid w:val="1C0F12F8"/>
    <w:rsid w:val="1C375E44"/>
    <w:rsid w:val="1C764B1C"/>
    <w:rsid w:val="1DA71B6E"/>
    <w:rsid w:val="1DCF07BE"/>
    <w:rsid w:val="1DD069A1"/>
    <w:rsid w:val="1DD10E83"/>
    <w:rsid w:val="1EEF28EA"/>
    <w:rsid w:val="1F3912B6"/>
    <w:rsid w:val="1F831D25"/>
    <w:rsid w:val="1FBF5BF3"/>
    <w:rsid w:val="200F1A58"/>
    <w:rsid w:val="202F4225"/>
    <w:rsid w:val="204104B4"/>
    <w:rsid w:val="20E12C41"/>
    <w:rsid w:val="217B2D9D"/>
    <w:rsid w:val="21A53CF7"/>
    <w:rsid w:val="21BB7E81"/>
    <w:rsid w:val="21FA0977"/>
    <w:rsid w:val="220D0C3D"/>
    <w:rsid w:val="2215787F"/>
    <w:rsid w:val="2268504D"/>
    <w:rsid w:val="229C3C2D"/>
    <w:rsid w:val="22A30A37"/>
    <w:rsid w:val="238F1B7D"/>
    <w:rsid w:val="239C5B07"/>
    <w:rsid w:val="23F2016A"/>
    <w:rsid w:val="24BA2AAC"/>
    <w:rsid w:val="2566799A"/>
    <w:rsid w:val="25D1795B"/>
    <w:rsid w:val="25EE021C"/>
    <w:rsid w:val="26365ABF"/>
    <w:rsid w:val="26BD430E"/>
    <w:rsid w:val="26F55403"/>
    <w:rsid w:val="274B4637"/>
    <w:rsid w:val="27A50008"/>
    <w:rsid w:val="27DA0519"/>
    <w:rsid w:val="2942030F"/>
    <w:rsid w:val="29437D4F"/>
    <w:rsid w:val="29A219F2"/>
    <w:rsid w:val="2A4572DF"/>
    <w:rsid w:val="2A900B62"/>
    <w:rsid w:val="2C1821B7"/>
    <w:rsid w:val="2C29586A"/>
    <w:rsid w:val="2C6F573D"/>
    <w:rsid w:val="2C842CF7"/>
    <w:rsid w:val="2DD71455"/>
    <w:rsid w:val="2DDD4E00"/>
    <w:rsid w:val="2F236A39"/>
    <w:rsid w:val="2F3216E1"/>
    <w:rsid w:val="2F327C4A"/>
    <w:rsid w:val="2F4F1691"/>
    <w:rsid w:val="2F9376F8"/>
    <w:rsid w:val="2FB7110D"/>
    <w:rsid w:val="301125F2"/>
    <w:rsid w:val="3070769A"/>
    <w:rsid w:val="30A9603D"/>
    <w:rsid w:val="30FA057F"/>
    <w:rsid w:val="312674E3"/>
    <w:rsid w:val="315B4F97"/>
    <w:rsid w:val="319150B3"/>
    <w:rsid w:val="31A00CE6"/>
    <w:rsid w:val="321B250E"/>
    <w:rsid w:val="322D4F8A"/>
    <w:rsid w:val="32C00484"/>
    <w:rsid w:val="33443FD1"/>
    <w:rsid w:val="33482722"/>
    <w:rsid w:val="335313AD"/>
    <w:rsid w:val="33DD76A8"/>
    <w:rsid w:val="340E3D16"/>
    <w:rsid w:val="343F562C"/>
    <w:rsid w:val="34E23FE0"/>
    <w:rsid w:val="35165DB6"/>
    <w:rsid w:val="353B5B7E"/>
    <w:rsid w:val="360D3620"/>
    <w:rsid w:val="362125C5"/>
    <w:rsid w:val="366C63A8"/>
    <w:rsid w:val="36FF686E"/>
    <w:rsid w:val="37444CBB"/>
    <w:rsid w:val="37710936"/>
    <w:rsid w:val="37FD51D6"/>
    <w:rsid w:val="37FD59DF"/>
    <w:rsid w:val="381C3802"/>
    <w:rsid w:val="384234A9"/>
    <w:rsid w:val="389334E6"/>
    <w:rsid w:val="398C6EAF"/>
    <w:rsid w:val="39CA1828"/>
    <w:rsid w:val="39CF7825"/>
    <w:rsid w:val="39EC2C1A"/>
    <w:rsid w:val="3A103841"/>
    <w:rsid w:val="3A4F77B4"/>
    <w:rsid w:val="3C4B3BF5"/>
    <w:rsid w:val="3C9F04B0"/>
    <w:rsid w:val="3CE5696B"/>
    <w:rsid w:val="3D243E79"/>
    <w:rsid w:val="3D527CCA"/>
    <w:rsid w:val="3DF2474F"/>
    <w:rsid w:val="3E84784A"/>
    <w:rsid w:val="4062374B"/>
    <w:rsid w:val="40990CD6"/>
    <w:rsid w:val="40D37D76"/>
    <w:rsid w:val="41513F60"/>
    <w:rsid w:val="41AA4F6D"/>
    <w:rsid w:val="41F52BE9"/>
    <w:rsid w:val="422020BF"/>
    <w:rsid w:val="42987ADF"/>
    <w:rsid w:val="42A8459D"/>
    <w:rsid w:val="43012127"/>
    <w:rsid w:val="440A3707"/>
    <w:rsid w:val="44376D6D"/>
    <w:rsid w:val="445B785F"/>
    <w:rsid w:val="44985602"/>
    <w:rsid w:val="45A5623A"/>
    <w:rsid w:val="466F23DA"/>
    <w:rsid w:val="46D82FDE"/>
    <w:rsid w:val="47556F69"/>
    <w:rsid w:val="4764223A"/>
    <w:rsid w:val="47726ABE"/>
    <w:rsid w:val="47D75FD7"/>
    <w:rsid w:val="47DB7507"/>
    <w:rsid w:val="47EF742B"/>
    <w:rsid w:val="484710B6"/>
    <w:rsid w:val="486B5F28"/>
    <w:rsid w:val="48C6491B"/>
    <w:rsid w:val="495F7C37"/>
    <w:rsid w:val="497725D2"/>
    <w:rsid w:val="4BDA7333"/>
    <w:rsid w:val="4C753DD4"/>
    <w:rsid w:val="4C89558D"/>
    <w:rsid w:val="4CFA3FC8"/>
    <w:rsid w:val="4D6A712F"/>
    <w:rsid w:val="4E210CE6"/>
    <w:rsid w:val="4E6B16DE"/>
    <w:rsid w:val="4FB73850"/>
    <w:rsid w:val="4FB91A90"/>
    <w:rsid w:val="503D5FE4"/>
    <w:rsid w:val="508C142A"/>
    <w:rsid w:val="51FE446C"/>
    <w:rsid w:val="5265255F"/>
    <w:rsid w:val="53695735"/>
    <w:rsid w:val="53750A2C"/>
    <w:rsid w:val="54AF5D69"/>
    <w:rsid w:val="54F91760"/>
    <w:rsid w:val="555C7557"/>
    <w:rsid w:val="55E56325"/>
    <w:rsid w:val="566501D2"/>
    <w:rsid w:val="56675E89"/>
    <w:rsid w:val="571E6E08"/>
    <w:rsid w:val="5723014B"/>
    <w:rsid w:val="572D2724"/>
    <w:rsid w:val="57424172"/>
    <w:rsid w:val="578C7B34"/>
    <w:rsid w:val="599D36B4"/>
    <w:rsid w:val="5A127855"/>
    <w:rsid w:val="5A15302D"/>
    <w:rsid w:val="5AF632BD"/>
    <w:rsid w:val="5B6B2CA6"/>
    <w:rsid w:val="5BB930A9"/>
    <w:rsid w:val="5C4320E6"/>
    <w:rsid w:val="5CE17770"/>
    <w:rsid w:val="5D613EE5"/>
    <w:rsid w:val="5DE16A82"/>
    <w:rsid w:val="5E654DF9"/>
    <w:rsid w:val="5EB71BCF"/>
    <w:rsid w:val="60AE71E3"/>
    <w:rsid w:val="60ED2977"/>
    <w:rsid w:val="612C4155"/>
    <w:rsid w:val="6133081E"/>
    <w:rsid w:val="613B5098"/>
    <w:rsid w:val="61B16906"/>
    <w:rsid w:val="61C7305E"/>
    <w:rsid w:val="62346ABD"/>
    <w:rsid w:val="634976F5"/>
    <w:rsid w:val="63595DAF"/>
    <w:rsid w:val="636C21C5"/>
    <w:rsid w:val="63FB0A8E"/>
    <w:rsid w:val="643A506E"/>
    <w:rsid w:val="64490CED"/>
    <w:rsid w:val="6460227F"/>
    <w:rsid w:val="64BF3803"/>
    <w:rsid w:val="65272410"/>
    <w:rsid w:val="65795F7B"/>
    <w:rsid w:val="65D73706"/>
    <w:rsid w:val="663A0A9C"/>
    <w:rsid w:val="66843A47"/>
    <w:rsid w:val="67407357"/>
    <w:rsid w:val="674C35B1"/>
    <w:rsid w:val="676073D3"/>
    <w:rsid w:val="676261BB"/>
    <w:rsid w:val="6797158C"/>
    <w:rsid w:val="680A6397"/>
    <w:rsid w:val="68367C81"/>
    <w:rsid w:val="68755EEA"/>
    <w:rsid w:val="68CA5905"/>
    <w:rsid w:val="68D5661B"/>
    <w:rsid w:val="690459B3"/>
    <w:rsid w:val="696A6778"/>
    <w:rsid w:val="6970018A"/>
    <w:rsid w:val="698A7F7A"/>
    <w:rsid w:val="6A47591A"/>
    <w:rsid w:val="6AEB6B97"/>
    <w:rsid w:val="6B2D28E4"/>
    <w:rsid w:val="6D0E5C26"/>
    <w:rsid w:val="6D4358A2"/>
    <w:rsid w:val="6D827C48"/>
    <w:rsid w:val="6D856316"/>
    <w:rsid w:val="6E71551D"/>
    <w:rsid w:val="6EA46546"/>
    <w:rsid w:val="6EB61216"/>
    <w:rsid w:val="6EF04FE5"/>
    <w:rsid w:val="6F096DF6"/>
    <w:rsid w:val="6F10168B"/>
    <w:rsid w:val="6F413503"/>
    <w:rsid w:val="704B6165"/>
    <w:rsid w:val="706B5776"/>
    <w:rsid w:val="70B3531A"/>
    <w:rsid w:val="710672D0"/>
    <w:rsid w:val="71AA5C88"/>
    <w:rsid w:val="727A36D9"/>
    <w:rsid w:val="7288321F"/>
    <w:rsid w:val="739159F1"/>
    <w:rsid w:val="74631547"/>
    <w:rsid w:val="74E5705C"/>
    <w:rsid w:val="74F531BE"/>
    <w:rsid w:val="756D0E66"/>
    <w:rsid w:val="758B0687"/>
    <w:rsid w:val="76207B2E"/>
    <w:rsid w:val="76653DDD"/>
    <w:rsid w:val="766565BA"/>
    <w:rsid w:val="76AE5BF8"/>
    <w:rsid w:val="779E7EDB"/>
    <w:rsid w:val="77AA399F"/>
    <w:rsid w:val="77B864F1"/>
    <w:rsid w:val="77F264E4"/>
    <w:rsid w:val="780075E6"/>
    <w:rsid w:val="783E6BE2"/>
    <w:rsid w:val="78A078CD"/>
    <w:rsid w:val="78F032B4"/>
    <w:rsid w:val="799E616E"/>
    <w:rsid w:val="7A195DA0"/>
    <w:rsid w:val="7A4E4A77"/>
    <w:rsid w:val="7A61476A"/>
    <w:rsid w:val="7A762663"/>
    <w:rsid w:val="7AB72664"/>
    <w:rsid w:val="7B0378F8"/>
    <w:rsid w:val="7B151BCC"/>
    <w:rsid w:val="7C220E85"/>
    <w:rsid w:val="7C48456E"/>
    <w:rsid w:val="7C762D47"/>
    <w:rsid w:val="7C7954A5"/>
    <w:rsid w:val="7EAC6E83"/>
    <w:rsid w:val="7EE37F7D"/>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2019-04-02T03:41:51Z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