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_Toc11158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_Toc11158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_Toc22677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_Toc22677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_Toc3890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_Toc3890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_Toc11512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_Toc11512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_Toc24450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_Toc24450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_Toc29250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_Toc29250 </w:instrText>
          </w:r>
          <w:r>
            <w:fldChar w:fldCharType="separate"/>
          </w:r>
          <w:r>
            <w:t>10</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_Toc4371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_Toc4371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_Toc27871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_Toc27871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_Toc14449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_Toc14449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_Toc25035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_Toc25035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_Toc1726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_Toc1726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_Toc9554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_Toc9554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_Toc4098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w:t>
          </w:r>
          <w:r>
            <w:rPr>
              <w:rFonts w:hint="eastAsia" w:ascii="微软雅黑" w:hAnsi="微软雅黑"/>
              <w:lang w:val="en-US" w:eastAsia="zh-CN"/>
            </w:rPr>
            <w:t>e</w:t>
          </w:r>
          <w:r>
            <w:tab/>
          </w:r>
          <w:r>
            <w:fldChar w:fldCharType="begin"/>
          </w:r>
          <w:r>
            <w:instrText xml:space="preserve"> PAGEREF _Toc4098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_Toc28827 </w:instrText>
          </w:r>
          <w:r>
            <w:rPr>
              <w:rFonts w:ascii="微软雅黑" w:hAnsi="微软雅黑" w:eastAsia="微软雅黑"/>
              <w:bCs/>
              <w:lang w:val="zh-CN"/>
            </w:rPr>
            <w:fldChar w:fldCharType="separate"/>
          </w:r>
          <w:r>
            <w:rPr>
              <w:rFonts w:hint="default" w:ascii="黑体" w:hAnsi="黑体" w:cs="黑体" w:eastAsiaTheme="minorEastAsia"/>
              <w:lang w:val="en-US" w:eastAsia="zh-CN"/>
            </w:rPr>
            <w:t xml:space="preserve">4.7 </w:t>
          </w:r>
          <w:r>
            <w:rPr>
              <w:rFonts w:hint="eastAsia" w:ascii="微软雅黑" w:hAnsi="微软雅黑"/>
              <w:lang w:val="en-US" w:eastAsia="zh-CN"/>
            </w:rPr>
            <w:t>Electricity of Device</w:t>
          </w:r>
          <w:r>
            <w:tab/>
          </w:r>
          <w:r>
            <w:fldChar w:fldCharType="begin"/>
          </w:r>
          <w:r>
            <w:instrText xml:space="preserve"> PAGEREF _Toc28827 </w:instrText>
          </w:r>
          <w:r>
            <w:fldChar w:fldCharType="separate"/>
          </w:r>
          <w:r>
            <w:t>14</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_Toc20734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_Toc20734 </w:instrText>
          </w:r>
          <w:r>
            <w:fldChar w:fldCharType="separate"/>
          </w:r>
          <w:r>
            <w:t>15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_Toc15548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_Toc15548 </w:instrText>
          </w:r>
          <w:r>
            <w:fldChar w:fldCharType="separate"/>
          </w:r>
          <w:r>
            <w:t>15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_Toc22658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_Toc22658 </w:instrText>
          </w:r>
          <w:r>
            <w:fldChar w:fldCharType="separate"/>
          </w:r>
          <w:r>
            <w:t>15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_Toc5921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_Toc5921 </w:instrText>
          </w:r>
          <w:r>
            <w:fldChar w:fldCharType="separate"/>
          </w:r>
          <w:r>
            <w:t>16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_Toc22685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_Toc22685 </w:instrText>
          </w:r>
          <w:r>
            <w:fldChar w:fldCharType="separate"/>
          </w:r>
          <w:r>
            <w:t>16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_Toc17044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_Toc17044 </w:instrText>
          </w:r>
          <w:r>
            <w:fldChar w:fldCharType="separate"/>
          </w:r>
          <w:r>
            <w:t>17</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11158"/>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22677"/>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3890"/>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 xml:space="preserve">Developers are required to prepare a </w:t>
      </w:r>
      <w:r>
        <w:rPr>
          <w:rFonts w:hint="eastAsia" w:ascii="微软雅黑" w:hAnsi="微软雅黑" w:eastAsia="微软雅黑"/>
        </w:rPr>
        <w:t>Unity 2017.1.0~2018.3.3f1</w:t>
      </w:r>
      <w:r>
        <w:rPr>
          <w:rFonts w:hint="eastAsia" w:ascii="微软雅黑" w:hAnsi="微软雅黑" w:eastAsia="微软雅黑"/>
          <w:lang w:eastAsia="zh-CN"/>
        </w:rPr>
        <w:t xml:space="preserve">，Recommended </w:t>
      </w:r>
      <w:r>
        <w:rPr>
          <w:rFonts w:hint="eastAsia" w:ascii="微软雅黑" w:hAnsi="微软雅黑" w:eastAsia="微软雅黑"/>
          <w:lang w:val="en-US" w:eastAsia="zh-CN"/>
        </w:rPr>
        <w:t>u</w:t>
      </w:r>
      <w:r>
        <w:rPr>
          <w:rFonts w:hint="eastAsia" w:ascii="微软雅黑" w:hAnsi="微软雅黑" w:eastAsia="微软雅黑"/>
          <w:lang w:eastAsia="zh-CN"/>
        </w:rPr>
        <w:t>se</w:t>
      </w:r>
      <w:r>
        <w:rPr>
          <w:rFonts w:hint="eastAsia" w:ascii="微软雅黑" w:hAnsi="微软雅黑" w:eastAsia="微软雅黑"/>
          <w:lang w:val="en-US" w:eastAsia="zh-CN"/>
        </w:rPr>
        <w:t xml:space="preserve"> </w:t>
      </w:r>
      <w:r>
        <w:rPr>
          <w:rFonts w:hint="eastAsia" w:ascii="微软雅黑" w:hAnsi="微软雅黑" w:eastAsia="微软雅黑"/>
        </w:rPr>
        <w:t>Unity2017.3.1f1</w:t>
      </w:r>
      <w:r>
        <w:rPr>
          <w:rFonts w:hint="eastAsia" w:ascii="微软雅黑" w:hAnsi="微软雅黑" w:eastAsia="微软雅黑"/>
          <w:lang w:val="en-US" w:eastAsia="zh-CN"/>
        </w:rPr>
        <w:t>,</w:t>
      </w:r>
      <w:r>
        <w:rPr>
          <w:rFonts w:ascii="微软雅黑" w:hAnsi="微软雅黑"/>
        </w:rPr>
        <w:t xml:space="preserve"> </w:t>
      </w:r>
      <w:r>
        <w:rPr>
          <w:rFonts w:hint="eastAsia" w:ascii="微软雅黑" w:hAnsi="微软雅黑"/>
          <w:lang w:val="en-US" w:eastAsia="zh-CN"/>
        </w:rPr>
        <w:t>N</w:t>
      </w:r>
      <w:r>
        <w:rPr>
          <w:rFonts w:hint="eastAsia" w:ascii="微软雅黑" w:hAnsi="微软雅黑"/>
        </w:rPr>
        <w:t>ot support</w:t>
      </w:r>
      <w:r>
        <w:rPr>
          <w:rFonts w:hint="eastAsia" w:ascii="微软雅黑" w:hAnsi="微软雅黑"/>
          <w:lang w:val="en-US" w:eastAsia="zh-CN"/>
        </w:rPr>
        <w:t xml:space="preserve"> </w:t>
      </w:r>
      <w:r>
        <w:rPr>
          <w:rFonts w:hint="eastAsia" w:ascii="微软雅黑" w:hAnsi="微软雅黑" w:eastAsia="微软雅黑"/>
        </w:rPr>
        <w:t>2018.1.9f2</w:t>
      </w:r>
      <w:r>
        <w:rPr>
          <w:rFonts w:ascii="微软雅黑" w:hAnsi="微软雅黑"/>
        </w:rPr>
        <w:t>.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1151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24450"/>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 into it and save.</w:t>
      </w:r>
    </w:p>
    <w:p>
      <w:pPr>
        <w:ind w:firstLine="420"/>
        <w:rPr>
          <w:rFonts w:ascii="微软雅黑" w:hAnsi="微软雅黑"/>
        </w:rPr>
      </w:pPr>
      <w:r>
        <w:rPr>
          <w:rFonts w:ascii="微软雅黑" w:hAnsi="微软雅黑"/>
        </w:rPr>
        <w:t>3) Fill the Appkey in the following location</w:t>
      </w:r>
    </w:p>
    <w:p>
      <w:pPr>
        <w:jc w:val="both"/>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Quality Settings：for Levels choose Medium level of the Android Platform with Green Check.</w:t>
      </w:r>
    </w:p>
    <w:p>
      <w:pPr>
        <w:numPr>
          <w:ilvl w:val="0"/>
          <w:numId w:val="0"/>
        </w:numPr>
        <w:ind w:firstLine="420" w:firstLineChars="0"/>
        <w:jc w:val="center"/>
      </w:pPr>
      <w:r>
        <w:drawing>
          <wp:inline distT="0" distB="0" distL="114300" distR="114300">
            <wp:extent cx="3429000" cy="537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29000" cy="5379720"/>
                    </a:xfrm>
                    <a:prstGeom prst="rect">
                      <a:avLst/>
                    </a:prstGeom>
                    <a:noFill/>
                    <a:ln w="9525">
                      <a:noFill/>
                    </a:ln>
                  </pic:spPr>
                </pic:pic>
              </a:graphicData>
            </a:graphic>
          </wp:inline>
        </w:drawing>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Note: In Levels settings, first let the gray bar select the row to mark green on the Android platform. Then set Anti Aliasing and V Sync Count. If you don't select the Android platform first, these two project settings will not work in the Android export package, resulting in the application running on a black screen.</w:t>
      </w:r>
    </w:p>
    <w:p>
      <w:pPr>
        <w:numPr>
          <w:ilvl w:val="0"/>
          <w:numId w:val="0"/>
        </w:numPr>
        <w:ind w:firstLine="420" w:firstLineChars="0"/>
        <w:jc w:val="both"/>
        <w:rPr>
          <w:rFonts w:hint="eastAsia" w:ascii="微软雅黑" w:hAnsi="微软雅黑" w:eastAsia="微软雅黑"/>
          <w:lang w:val="en-US" w:eastAsia="zh-CN"/>
        </w:rPr>
      </w:pP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Anti Aliasing： Adjustments can be made as needed. 4 multi sampling is recommended .</w:t>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V Sync Count：Must set as Don’t Sync.</w:t>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Player Settings：</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Resolution and Presentation option, Default Orientation must be set as Landscape Left.</w:t>
      </w:r>
    </w:p>
    <w:p>
      <w:pPr>
        <w:numPr>
          <w:ilvl w:val="0"/>
          <w:numId w:val="0"/>
        </w:numPr>
        <w:ind w:left="420" w:leftChars="0"/>
        <w:jc w:val="center"/>
        <w:rPr>
          <w:rFonts w:hint="eastAsia" w:ascii="微软雅黑" w:hAnsi="微软雅黑" w:eastAsia="微软雅黑"/>
          <w:lang w:val="en-US" w:eastAsia="zh-CN"/>
        </w:rPr>
      </w:pPr>
      <w:r>
        <w:drawing>
          <wp:inline distT="0" distB="0" distL="114300" distR="114300">
            <wp:extent cx="3688080" cy="201930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688080" cy="201930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Other Settings option，Don’t select GPU Skinning，API Level is Android 7.1，Write permission select SDCard.</w:t>
      </w:r>
    </w:p>
    <w:p>
      <w:pPr>
        <w:numPr>
          <w:ilvl w:val="0"/>
          <w:numId w:val="0"/>
        </w:numPr>
        <w:jc w:val="center"/>
      </w:pPr>
      <w:r>
        <w:drawing>
          <wp:inline distT="0" distB="0" distL="114300" distR="114300">
            <wp:extent cx="3337560" cy="541782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337560" cy="541782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XR Settings option, select Virtual Reality Supported，Select “Mock HMD - Vive”，Set Stereo Rendering Methods as “Single Pass(Preview)”。</w:t>
      </w:r>
    </w:p>
    <w:p>
      <w:pPr>
        <w:numPr>
          <w:ilvl w:val="0"/>
          <w:numId w:val="0"/>
        </w:numPr>
        <w:ind w:left="420" w:leftChars="0" w:firstLine="420" w:firstLineChars="0"/>
        <w:jc w:val="both"/>
      </w:pPr>
      <w:r>
        <w:drawing>
          <wp:inline distT="0" distB="0" distL="114300" distR="114300">
            <wp:extent cx="4046220" cy="204978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4046220" cy="204978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eastAsiaTheme="minorEastAsia"/>
          <w:lang w:val="en-US" w:eastAsia="zh-CN"/>
        </w:rPr>
      </w:pPr>
      <w:r>
        <w:rPr>
          <w:rFonts w:hint="eastAsia" w:ascii="微软雅黑" w:hAnsi="微软雅黑" w:eastAsia="微软雅黑"/>
          <w:lang w:val="en-US" w:eastAsia="zh-CN"/>
        </w:rPr>
        <w:t>Or:</w:t>
      </w:r>
    </w:p>
    <w:p>
      <w:pPr>
        <w:numPr>
          <w:ilvl w:val="0"/>
          <w:numId w:val="0"/>
        </w:numPr>
        <w:ind w:left="420" w:leftChars="0" w:firstLine="420" w:firstLineChars="0"/>
        <w:jc w:val="both"/>
        <w:rPr>
          <w:rFonts w:hint="eastAsia" w:eastAsiaTheme="minorEastAsia"/>
          <w:lang w:val="en-US" w:eastAsia="zh-CN"/>
        </w:rPr>
      </w:pPr>
      <w:r>
        <w:drawing>
          <wp:inline distT="0" distB="0" distL="114300" distR="114300">
            <wp:extent cx="3962400" cy="2346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962400" cy="234696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lang w:val="en-US" w:eastAsia="zh-CN"/>
        </w:rPr>
      </w:pP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Select default platform “Android”， (Build System) select “Internal” mode.</w:t>
      </w:r>
    </w:p>
    <w:p>
      <w:pPr>
        <w:numPr>
          <w:ilvl w:val="0"/>
          <w:numId w:val="0"/>
        </w:numPr>
        <w:jc w:val="center"/>
        <w:rPr>
          <w:rFonts w:hint="eastAsia" w:ascii="微软雅黑" w:hAnsi="微软雅黑" w:eastAsia="微软雅黑"/>
          <w:lang w:val="en-US" w:eastAsia="zh-CN"/>
        </w:rPr>
      </w:pPr>
      <w:r>
        <w:drawing>
          <wp:inline distT="0" distB="0" distL="114300" distR="114300">
            <wp:extent cx="4251960" cy="409956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2"/>
                    <a:stretch>
                      <a:fillRect/>
                    </a:stretch>
                  </pic:blipFill>
                  <pic:spPr>
                    <a:xfrm>
                      <a:off x="0" y="0"/>
                      <a:ext cx="4251960" cy="409956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 xml:space="preserve"> Blit Type setting: The setting of Blit Type will only be available in Unity2017.3 or higher. Here you need to set it manually. The S801 platform needs to be set to Never, and the S8000 and 901 platforms need to be set to Always.</w:t>
      </w:r>
    </w:p>
    <w:p>
      <w:pPr>
        <w:numPr>
          <w:ilvl w:val="0"/>
          <w:numId w:val="0"/>
        </w:numPr>
        <w:jc w:val="center"/>
        <w:rPr>
          <w:rFonts w:hint="eastAsia" w:ascii="微软雅黑" w:hAnsi="微软雅黑" w:eastAsia="微软雅黑"/>
          <w:lang w:val="en-US" w:eastAsia="zh-CN"/>
        </w:rPr>
      </w:pPr>
      <w:r>
        <w:drawing>
          <wp:inline distT="0" distB="0" distL="114300" distR="114300">
            <wp:extent cx="5269865" cy="2364105"/>
            <wp:effectExtent l="0" t="0" r="3175" b="133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3"/>
                    <a:stretch>
                      <a:fillRect/>
                    </a:stretch>
                  </pic:blipFill>
                  <pic:spPr>
                    <a:xfrm>
                      <a:off x="0" y="0"/>
                      <a:ext cx="5269865" cy="2364105"/>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Export to equipment operation</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Connect the device to the computer via USB. When connected to the computer, the battery icon of Launcher interface will be in the state of charging.</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Click File - &gt; Build &amp; Run; and wait for the progress bar to finish！</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9250"/>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4371"/>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7871"/>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4449"/>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25035"/>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6"/>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9554"/>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6899"/>
      <w:bookmarkStart w:id="15" w:name="_Toc4098"/>
      <w:r>
        <w:rPr>
          <w:rFonts w:ascii="微软雅黑" w:hAnsi="微软雅黑"/>
        </w:rPr>
        <w:t>Connection Status of Devic</w:t>
      </w:r>
      <w:r>
        <w:rPr>
          <w:rFonts w:hint="eastAsia" w:ascii="微软雅黑" w:hAnsi="微软雅黑"/>
          <w:lang w:val="en-US" w:eastAsia="zh-CN"/>
        </w:rPr>
        <w:t>e</w:t>
      </w:r>
      <w:bookmarkEnd w:id="14"/>
      <w:bookmarkEnd w:id="15"/>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bool </w:t>
            </w:r>
            <w:r>
              <w:rPr>
                <w:rFonts w:hint="eastAsia" w:ascii="微软雅黑" w:hAnsi="微软雅黑" w:eastAsia="微软雅黑" w:cs="Times New Roman"/>
                <w:kern w:val="0"/>
                <w:sz w:val="20"/>
                <w:szCs w:val="20"/>
              </w:rPr>
              <w:t>GetNoloConnectStatus()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connection status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.GetNoloConnectStatus()</w:t>
            </w:r>
          </w:p>
        </w:tc>
      </w:tr>
    </w:tbl>
    <w:p>
      <w:pPr>
        <w:rPr>
          <w:rFonts w:hint="eastAsia" w:ascii="微软雅黑" w:hAnsi="微软雅黑"/>
          <w:lang w:val="en-US" w:eastAsia="zh-CN"/>
        </w:rPr>
      </w:pPr>
    </w:p>
    <w:p>
      <w:pPr>
        <w:pStyle w:val="3"/>
        <w:rPr>
          <w:rFonts w:hint="eastAsia" w:ascii="微软雅黑" w:hAnsi="微软雅黑"/>
          <w:lang w:val="en-US" w:eastAsia="zh-CN"/>
        </w:rPr>
      </w:pPr>
      <w:bookmarkStart w:id="16" w:name="_Toc27824"/>
      <w:bookmarkStart w:id="17" w:name="_Toc28827"/>
      <w:r>
        <w:rPr>
          <w:rFonts w:hint="eastAsia" w:ascii="微软雅黑" w:hAnsi="微软雅黑"/>
          <w:lang w:val="en-US" w:eastAsia="zh-CN"/>
        </w:rPr>
        <w:t>Electricity of Device</w:t>
      </w:r>
      <w:bookmarkEnd w:id="16"/>
      <w:bookmarkEnd w:id="17"/>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int GetElectricity()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GetElectricity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w:t>
            </w:r>
            <w:r>
              <w:rPr>
                <w:rFonts w:hint="eastAsia" w:ascii="微软雅黑" w:hAnsi="微软雅黑" w:eastAsia="微软雅黑" w:cs="Times New Roman"/>
                <w:kern w:val="0"/>
                <w:sz w:val="20"/>
                <w:szCs w:val="20"/>
                <w:lang w:val="en-US" w:eastAsia="zh-CN"/>
              </w:rPr>
              <w:t>GetElectricity</w:t>
            </w:r>
            <w:r>
              <w:rPr>
                <w:rFonts w:hint="eastAsia" w:ascii="微软雅黑" w:hAnsi="微软雅黑" w:eastAsia="微软雅黑" w:cs="Times New Roman"/>
                <w:kern w:val="0"/>
                <w:sz w:val="20"/>
                <w:szCs w:val="20"/>
              </w:rPr>
              <w:t>()</w:t>
            </w:r>
          </w:p>
        </w:tc>
      </w:tr>
    </w:tbl>
    <w:p/>
    <w:p>
      <w:pPr>
        <w:pStyle w:val="2"/>
      </w:pPr>
      <w:bookmarkStart w:id="18" w:name="_Toc20734"/>
      <w:r>
        <w:rPr>
          <w:rStyle w:val="24"/>
          <w:rFonts w:ascii="微软雅黑" w:hAnsi="微软雅黑" w:eastAsia="微软雅黑"/>
          <w:lang w:val="zh-TW" w:eastAsia="zh-TW"/>
        </w:rPr>
        <w:t>Notes</w:t>
      </w:r>
      <w:bookmarkEnd w:id="18"/>
    </w:p>
    <w:p>
      <w:pPr>
        <w:pStyle w:val="3"/>
        <w:rPr>
          <w:rFonts w:ascii="微软雅黑" w:hAnsi="微软雅黑" w:eastAsia="微软雅黑"/>
        </w:rPr>
      </w:pPr>
      <w:bookmarkStart w:id="19" w:name="_Toc15548"/>
      <w:r>
        <w:rPr>
          <w:rStyle w:val="24"/>
          <w:rFonts w:ascii="微软雅黑" w:hAnsi="微软雅黑" w:eastAsia="微软雅黑" w:cs="黑体"/>
          <w:lang w:val="zh-TW" w:eastAsia="zh-TW"/>
        </w:rPr>
        <w:t>Set Origin</w:t>
      </w:r>
      <w:bookmarkEnd w:id="19"/>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20" w:name="_Toc22658"/>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20"/>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21" w:name="_Toc5921"/>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21"/>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2" w:name="_Toc22685"/>
      <w:r>
        <w:rPr>
          <w:rFonts w:ascii="微软雅黑" w:hAnsi="微软雅黑" w:eastAsia="微软雅黑"/>
          <w:lang w:val="zh-TW" w:eastAsia="zh-TW"/>
        </w:rPr>
        <w:t>Reset Orientation</w:t>
      </w:r>
      <w:bookmarkEnd w:id="22"/>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3" w:name="_Toc17044"/>
      <w:r>
        <w:rPr>
          <w:rStyle w:val="24"/>
          <w:rFonts w:ascii="微软雅黑" w:hAnsi="微软雅黑" w:eastAsia="微软雅黑" w:cs="黑体"/>
          <w:lang w:val="zh-TW" w:eastAsia="zh-TW"/>
        </w:rPr>
        <w:t>Set Turn-around Key</w:t>
      </w:r>
      <w:bookmarkEnd w:id="23"/>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472B"/>
    <w:multiLevelType w:val="multilevel"/>
    <w:tmpl w:val="67AD472B"/>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5637F"/>
    <w:rsid w:val="0087470D"/>
    <w:rsid w:val="009B2840"/>
    <w:rsid w:val="00A36107"/>
    <w:rsid w:val="00A96582"/>
    <w:rsid w:val="00B43907"/>
    <w:rsid w:val="00BA61CE"/>
    <w:rsid w:val="00EC764F"/>
    <w:rsid w:val="01151D9C"/>
    <w:rsid w:val="016072A0"/>
    <w:rsid w:val="020A1735"/>
    <w:rsid w:val="02112754"/>
    <w:rsid w:val="022F566E"/>
    <w:rsid w:val="02634F88"/>
    <w:rsid w:val="02D813AC"/>
    <w:rsid w:val="031B094A"/>
    <w:rsid w:val="03E447A4"/>
    <w:rsid w:val="03E87F53"/>
    <w:rsid w:val="047443F3"/>
    <w:rsid w:val="04A34F8C"/>
    <w:rsid w:val="05107126"/>
    <w:rsid w:val="05CE1C43"/>
    <w:rsid w:val="06A455DC"/>
    <w:rsid w:val="07422B09"/>
    <w:rsid w:val="07B833AD"/>
    <w:rsid w:val="07F238D6"/>
    <w:rsid w:val="080A5D44"/>
    <w:rsid w:val="081A4E6A"/>
    <w:rsid w:val="093B39D8"/>
    <w:rsid w:val="096B3ECC"/>
    <w:rsid w:val="09AD6344"/>
    <w:rsid w:val="0A9A027F"/>
    <w:rsid w:val="0C6B4784"/>
    <w:rsid w:val="0D306804"/>
    <w:rsid w:val="0DD62BC5"/>
    <w:rsid w:val="0DD80E92"/>
    <w:rsid w:val="0DF2734B"/>
    <w:rsid w:val="0E0B7A9D"/>
    <w:rsid w:val="0E2F78E9"/>
    <w:rsid w:val="0E7D437F"/>
    <w:rsid w:val="0EDD317C"/>
    <w:rsid w:val="0F2F27B1"/>
    <w:rsid w:val="10430B3C"/>
    <w:rsid w:val="106C2EE4"/>
    <w:rsid w:val="10906710"/>
    <w:rsid w:val="10A44FAC"/>
    <w:rsid w:val="10E204BF"/>
    <w:rsid w:val="112F000C"/>
    <w:rsid w:val="11301782"/>
    <w:rsid w:val="11334783"/>
    <w:rsid w:val="11360630"/>
    <w:rsid w:val="1204465C"/>
    <w:rsid w:val="12283713"/>
    <w:rsid w:val="131676C1"/>
    <w:rsid w:val="13B26CB8"/>
    <w:rsid w:val="13F923F0"/>
    <w:rsid w:val="141D57DE"/>
    <w:rsid w:val="14377585"/>
    <w:rsid w:val="14B35727"/>
    <w:rsid w:val="152767AE"/>
    <w:rsid w:val="152A41B3"/>
    <w:rsid w:val="156A12BF"/>
    <w:rsid w:val="1582012B"/>
    <w:rsid w:val="159C6AB7"/>
    <w:rsid w:val="15E37D80"/>
    <w:rsid w:val="163B7225"/>
    <w:rsid w:val="1678730C"/>
    <w:rsid w:val="16FA6DF3"/>
    <w:rsid w:val="1757568E"/>
    <w:rsid w:val="17615707"/>
    <w:rsid w:val="176416EF"/>
    <w:rsid w:val="180A643F"/>
    <w:rsid w:val="18383CD7"/>
    <w:rsid w:val="1877688A"/>
    <w:rsid w:val="18EA680F"/>
    <w:rsid w:val="194000E4"/>
    <w:rsid w:val="1967246E"/>
    <w:rsid w:val="197375D1"/>
    <w:rsid w:val="19A66A09"/>
    <w:rsid w:val="19F6598C"/>
    <w:rsid w:val="1A0E78D0"/>
    <w:rsid w:val="1A1E6D1A"/>
    <w:rsid w:val="1A207187"/>
    <w:rsid w:val="1A2D66CC"/>
    <w:rsid w:val="1A444083"/>
    <w:rsid w:val="1A490161"/>
    <w:rsid w:val="1AA44990"/>
    <w:rsid w:val="1AE34A46"/>
    <w:rsid w:val="1B2567D8"/>
    <w:rsid w:val="1B2A0F91"/>
    <w:rsid w:val="1B2E49DE"/>
    <w:rsid w:val="1B423AF7"/>
    <w:rsid w:val="1BA867D1"/>
    <w:rsid w:val="1C0F12F8"/>
    <w:rsid w:val="1C375E44"/>
    <w:rsid w:val="1C764B1C"/>
    <w:rsid w:val="1DA71B6E"/>
    <w:rsid w:val="1DCF07BE"/>
    <w:rsid w:val="1DD069A1"/>
    <w:rsid w:val="1DD10E83"/>
    <w:rsid w:val="1EEF28EA"/>
    <w:rsid w:val="1F3912B6"/>
    <w:rsid w:val="1F831D25"/>
    <w:rsid w:val="1FBF5BF3"/>
    <w:rsid w:val="200F1A58"/>
    <w:rsid w:val="202F4225"/>
    <w:rsid w:val="204104B4"/>
    <w:rsid w:val="20E12C41"/>
    <w:rsid w:val="212B057E"/>
    <w:rsid w:val="21570A17"/>
    <w:rsid w:val="217B2D9D"/>
    <w:rsid w:val="21A53CF7"/>
    <w:rsid w:val="21BB7E81"/>
    <w:rsid w:val="21FA0977"/>
    <w:rsid w:val="220D0C3D"/>
    <w:rsid w:val="2215787F"/>
    <w:rsid w:val="2268504D"/>
    <w:rsid w:val="229C3C2D"/>
    <w:rsid w:val="22A30A37"/>
    <w:rsid w:val="238F1B7D"/>
    <w:rsid w:val="239C5B07"/>
    <w:rsid w:val="23F2016A"/>
    <w:rsid w:val="24BA2AAC"/>
    <w:rsid w:val="2566799A"/>
    <w:rsid w:val="25D1795B"/>
    <w:rsid w:val="25EE021C"/>
    <w:rsid w:val="26365ABF"/>
    <w:rsid w:val="26BD430E"/>
    <w:rsid w:val="26F55403"/>
    <w:rsid w:val="274B4637"/>
    <w:rsid w:val="27A50008"/>
    <w:rsid w:val="27DA0519"/>
    <w:rsid w:val="2942030F"/>
    <w:rsid w:val="29437D4F"/>
    <w:rsid w:val="29A219F2"/>
    <w:rsid w:val="2A4572DF"/>
    <w:rsid w:val="2A900B62"/>
    <w:rsid w:val="2C1821B7"/>
    <w:rsid w:val="2C29586A"/>
    <w:rsid w:val="2C452D44"/>
    <w:rsid w:val="2C6F573D"/>
    <w:rsid w:val="2C842CF7"/>
    <w:rsid w:val="2DD71455"/>
    <w:rsid w:val="2DDD4E00"/>
    <w:rsid w:val="2EEE4E15"/>
    <w:rsid w:val="2F236A39"/>
    <w:rsid w:val="2F3216E1"/>
    <w:rsid w:val="2F327C4A"/>
    <w:rsid w:val="2F4F1691"/>
    <w:rsid w:val="2F9376F8"/>
    <w:rsid w:val="2FB7110D"/>
    <w:rsid w:val="301125F2"/>
    <w:rsid w:val="3070769A"/>
    <w:rsid w:val="30A9603D"/>
    <w:rsid w:val="30FA057F"/>
    <w:rsid w:val="312674E3"/>
    <w:rsid w:val="315B4F97"/>
    <w:rsid w:val="319150B3"/>
    <w:rsid w:val="31A00CE6"/>
    <w:rsid w:val="321B250E"/>
    <w:rsid w:val="322D4F8A"/>
    <w:rsid w:val="32C00484"/>
    <w:rsid w:val="33443FD1"/>
    <w:rsid w:val="33482722"/>
    <w:rsid w:val="335313AD"/>
    <w:rsid w:val="33DD76A8"/>
    <w:rsid w:val="340E3D16"/>
    <w:rsid w:val="343F562C"/>
    <w:rsid w:val="34E23FE0"/>
    <w:rsid w:val="35165DB6"/>
    <w:rsid w:val="353B5B7E"/>
    <w:rsid w:val="360D3620"/>
    <w:rsid w:val="362125C5"/>
    <w:rsid w:val="366C63A8"/>
    <w:rsid w:val="36FF686E"/>
    <w:rsid w:val="37444CBB"/>
    <w:rsid w:val="37710936"/>
    <w:rsid w:val="37FD51D6"/>
    <w:rsid w:val="37FD59DF"/>
    <w:rsid w:val="381C3802"/>
    <w:rsid w:val="384234A9"/>
    <w:rsid w:val="389334E6"/>
    <w:rsid w:val="398C6EAF"/>
    <w:rsid w:val="39AD1B8D"/>
    <w:rsid w:val="39CA1828"/>
    <w:rsid w:val="39CF7825"/>
    <w:rsid w:val="39EC2C1A"/>
    <w:rsid w:val="3A103841"/>
    <w:rsid w:val="3A4F77B4"/>
    <w:rsid w:val="3ACF2045"/>
    <w:rsid w:val="3C4B3BF5"/>
    <w:rsid w:val="3C9F04B0"/>
    <w:rsid w:val="3CE5696B"/>
    <w:rsid w:val="3D243E79"/>
    <w:rsid w:val="3D527CCA"/>
    <w:rsid w:val="3D694CD3"/>
    <w:rsid w:val="3D855EB9"/>
    <w:rsid w:val="3DF2474F"/>
    <w:rsid w:val="3E84784A"/>
    <w:rsid w:val="4062374B"/>
    <w:rsid w:val="40990CD6"/>
    <w:rsid w:val="40D37D76"/>
    <w:rsid w:val="41513F60"/>
    <w:rsid w:val="41AA4F6D"/>
    <w:rsid w:val="41F52BE9"/>
    <w:rsid w:val="422020BF"/>
    <w:rsid w:val="42987ADF"/>
    <w:rsid w:val="42A8459D"/>
    <w:rsid w:val="43012127"/>
    <w:rsid w:val="440A3707"/>
    <w:rsid w:val="44376D6D"/>
    <w:rsid w:val="445B785F"/>
    <w:rsid w:val="44985602"/>
    <w:rsid w:val="45A5623A"/>
    <w:rsid w:val="466F23DA"/>
    <w:rsid w:val="46D82FDE"/>
    <w:rsid w:val="47556F69"/>
    <w:rsid w:val="4764223A"/>
    <w:rsid w:val="47726ABE"/>
    <w:rsid w:val="47D75FD7"/>
    <w:rsid w:val="47DB7507"/>
    <w:rsid w:val="47EF742B"/>
    <w:rsid w:val="484710B6"/>
    <w:rsid w:val="486B5F28"/>
    <w:rsid w:val="48C6491B"/>
    <w:rsid w:val="495F7C37"/>
    <w:rsid w:val="497725D2"/>
    <w:rsid w:val="4A9E29F1"/>
    <w:rsid w:val="4BDA7333"/>
    <w:rsid w:val="4C753DD4"/>
    <w:rsid w:val="4C89558D"/>
    <w:rsid w:val="4CFA3FC8"/>
    <w:rsid w:val="4D6A712F"/>
    <w:rsid w:val="4E210CE6"/>
    <w:rsid w:val="4E6B16DE"/>
    <w:rsid w:val="4FB73850"/>
    <w:rsid w:val="4FB91A90"/>
    <w:rsid w:val="503D5FE4"/>
    <w:rsid w:val="508C142A"/>
    <w:rsid w:val="51FE446C"/>
    <w:rsid w:val="5265255F"/>
    <w:rsid w:val="53695735"/>
    <w:rsid w:val="53750A2C"/>
    <w:rsid w:val="54AF5D69"/>
    <w:rsid w:val="54F91760"/>
    <w:rsid w:val="555C7557"/>
    <w:rsid w:val="55E56325"/>
    <w:rsid w:val="566501D2"/>
    <w:rsid w:val="56675E89"/>
    <w:rsid w:val="571E6E08"/>
    <w:rsid w:val="5723014B"/>
    <w:rsid w:val="572D2724"/>
    <w:rsid w:val="57424172"/>
    <w:rsid w:val="578C7B34"/>
    <w:rsid w:val="599D36B4"/>
    <w:rsid w:val="5A127855"/>
    <w:rsid w:val="5A15302D"/>
    <w:rsid w:val="5AF632BD"/>
    <w:rsid w:val="5B6B2CA6"/>
    <w:rsid w:val="5B6F3390"/>
    <w:rsid w:val="5BB930A9"/>
    <w:rsid w:val="5C4320E6"/>
    <w:rsid w:val="5CE17770"/>
    <w:rsid w:val="5D613EE5"/>
    <w:rsid w:val="5DE16A82"/>
    <w:rsid w:val="5E4E56A5"/>
    <w:rsid w:val="5E654DF9"/>
    <w:rsid w:val="5EB71BCF"/>
    <w:rsid w:val="60AE71E3"/>
    <w:rsid w:val="60ED2977"/>
    <w:rsid w:val="612C4155"/>
    <w:rsid w:val="6133081E"/>
    <w:rsid w:val="613B5098"/>
    <w:rsid w:val="61B16906"/>
    <w:rsid w:val="61C7305E"/>
    <w:rsid w:val="62346ABD"/>
    <w:rsid w:val="634976F5"/>
    <w:rsid w:val="63595DAF"/>
    <w:rsid w:val="636C21C5"/>
    <w:rsid w:val="63FB0A8E"/>
    <w:rsid w:val="643A506E"/>
    <w:rsid w:val="64490CED"/>
    <w:rsid w:val="6460227F"/>
    <w:rsid w:val="64BF3803"/>
    <w:rsid w:val="65272410"/>
    <w:rsid w:val="65795F7B"/>
    <w:rsid w:val="65D73706"/>
    <w:rsid w:val="663A0A9C"/>
    <w:rsid w:val="66843A47"/>
    <w:rsid w:val="67407357"/>
    <w:rsid w:val="674C35B1"/>
    <w:rsid w:val="676073D3"/>
    <w:rsid w:val="676261BB"/>
    <w:rsid w:val="6797158C"/>
    <w:rsid w:val="680A6397"/>
    <w:rsid w:val="68367C81"/>
    <w:rsid w:val="68755EEA"/>
    <w:rsid w:val="68CA5905"/>
    <w:rsid w:val="68D5661B"/>
    <w:rsid w:val="690459B3"/>
    <w:rsid w:val="696A6778"/>
    <w:rsid w:val="6970018A"/>
    <w:rsid w:val="698A7F7A"/>
    <w:rsid w:val="6A47591A"/>
    <w:rsid w:val="6AEB6B97"/>
    <w:rsid w:val="6B2D28E4"/>
    <w:rsid w:val="6D0E5C26"/>
    <w:rsid w:val="6D4358A2"/>
    <w:rsid w:val="6D827C48"/>
    <w:rsid w:val="6D856316"/>
    <w:rsid w:val="6E71551D"/>
    <w:rsid w:val="6EA46546"/>
    <w:rsid w:val="6EB61216"/>
    <w:rsid w:val="6EF04FE5"/>
    <w:rsid w:val="6F096DF6"/>
    <w:rsid w:val="6F10168B"/>
    <w:rsid w:val="6F413503"/>
    <w:rsid w:val="704B6165"/>
    <w:rsid w:val="706B5776"/>
    <w:rsid w:val="70B3531A"/>
    <w:rsid w:val="710672D0"/>
    <w:rsid w:val="71AA5C88"/>
    <w:rsid w:val="727A36D9"/>
    <w:rsid w:val="7288321F"/>
    <w:rsid w:val="739159F1"/>
    <w:rsid w:val="74631547"/>
    <w:rsid w:val="74E5705C"/>
    <w:rsid w:val="74F531BE"/>
    <w:rsid w:val="756D0E66"/>
    <w:rsid w:val="758B0687"/>
    <w:rsid w:val="76207B2E"/>
    <w:rsid w:val="76653DDD"/>
    <w:rsid w:val="766565BA"/>
    <w:rsid w:val="76AE5BF8"/>
    <w:rsid w:val="779E7EDB"/>
    <w:rsid w:val="77AA399F"/>
    <w:rsid w:val="77B864F1"/>
    <w:rsid w:val="77F264E4"/>
    <w:rsid w:val="780075E6"/>
    <w:rsid w:val="783E6BE2"/>
    <w:rsid w:val="78A078CD"/>
    <w:rsid w:val="78F032B4"/>
    <w:rsid w:val="799E616E"/>
    <w:rsid w:val="7A195DA0"/>
    <w:rsid w:val="7A4E4A77"/>
    <w:rsid w:val="7A61476A"/>
    <w:rsid w:val="7A762663"/>
    <w:rsid w:val="7AB72664"/>
    <w:rsid w:val="7B0378F8"/>
    <w:rsid w:val="7B151BCC"/>
    <w:rsid w:val="7BB209C6"/>
    <w:rsid w:val="7BCE2359"/>
    <w:rsid w:val="7C220E85"/>
    <w:rsid w:val="7C3A5E74"/>
    <w:rsid w:val="7C48456E"/>
    <w:rsid w:val="7C762D47"/>
    <w:rsid w:val="7C7954A5"/>
    <w:rsid w:val="7DC13C8B"/>
    <w:rsid w:val="7EAC6E83"/>
    <w:rsid w:val="7EE37F7D"/>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2019-04-16T06:26:07Z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