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6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系统性能测试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检测系统支持同时播放的客户端数量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：500/1000/3000、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8000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分别启动</w:t>
            </w:r>
            <w:r>
              <w:rPr>
                <w:rFonts w:hint="default"/>
                <w:lang w:eastAsia="zh-Hans"/>
              </w:rPr>
              <w:t>500/1000/3000</w:t>
            </w:r>
            <w:r>
              <w:rPr>
                <w:rFonts w:hint="eastAsia"/>
                <w:lang w:val="en-US" w:eastAsia="zh-Hans"/>
              </w:rPr>
              <w:t>个客户端播放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与预期结果一致</w:t>
            </w:r>
            <w:bookmarkStart w:id="0" w:name="_GoBack"/>
            <w:bookmarkEnd w:id="0"/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39DC7304"/>
    <w:rsid w:val="6FEFC78A"/>
    <w:rsid w:val="7DFFAB7C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1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2023-06-02T00:05:00Z</dcterms:created>
  <dc:creator>user</dc:creator>
  <cp:lastModifiedBy>NOMAD</cp:lastModifiedBy>
  <dcterms:modified xsi:type="dcterms:W3CDTF">2023-06-02T11:08:23Z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