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NOX Token Contract Documentation</w:t>
      </w:r>
    </w:p>
    <w:p>
      <w:pPr>
        <w:jc w:val="center"/>
      </w:pPr>
      <w:r>
        <w:rPr>
          <w:i/>
          <w:sz w:val="24"/>
        </w:rPr>
        <w:t>NONOS / NOX mainnet ERC-20 proxy and implementation notes</w:t>
      </w:r>
    </w:p>
    <w:p>
      <w:pPr>
        <w:jc w:val="center"/>
      </w:pPr>
      <w:r>
        <w:t>Prepared: 5 July 2026</w:t>
      </w:r>
    </w:p>
    <w:p>
      <w:r>
        <w:rPr>
          <w:b/>
        </w:rPr>
        <w:t xml:space="preserve">Accuracy notice: </w:t>
      </w:r>
      <w:r>
        <w:t>This document is based on the live Etherscan pages for the NOX token proxy and active implementation, the verified GitHub source for NOXTokenV3, public token pages, and the visible ABI/source data available at review time. It is technical documentation, not a security audit. Where live storage values could not be independently eth_call-read in this environment, the document states that limitation explicitly.</w:t>
      </w:r>
    </w:p>
    <w:p>
      <w:pPr>
        <w:pStyle w:val="Heading1"/>
      </w:pPr>
      <w:r>
        <w:t>1. Executive summary</w:t>
      </w:r>
    </w:p>
    <w:p>
      <w:r>
        <w:t>NOX is the ERC-20 token for the NØNOS / NONOS ecosystem on Ethereum mainnet. The live token address reviewed is 0x0a26c80Be4E060e688d7C23aDdB92cBb5D2C9eCA.</w:t>
      </w:r>
    </w:p>
    <w:p>
      <w:r>
        <w:t>The live token address is an ERC1967 proxy. Etherscan shows the active implementation as 0x43F805D1e6667CFceacB3c117B1d9dC4E5879B7D. That implementation is verified on Etherscan as NONOS_NOX_MAINNET_V3.</w:t>
      </w:r>
    </w:p>
    <w:p>
      <w:r>
        <w:t>The implementation is an upgradeable ERC-20 with ERC20Burnable, ERC20Permit, AccessControl, and UUPS upgrade support. The token has an 800,000,000 NOX maximum supply constant and 18 decimals.</w:t>
      </w:r>
    </w:p>
    <w:p>
      <w:r>
        <w:t>The design includes a capped fee system. The implementation caps buy, sell, and transfer fees at 300 bps each, which is 3%. The project/source notes describe the intended current public tax model as 0% buy and 3% sell, with the sell fee feeding burn and liquidity. The code also contains a setFees governor function that can change fee values within the 3% cap.</w:t>
      </w:r>
    </w:p>
    <w:p>
      <w:r>
        <w:t>The most important technical surfaces are: proxy upgrade control, governor-controlled fees and LP pair configuration, one-way renounceable blacklist control, fee exemptions, auto-liquidity execution, and role administration.</w:t>
      </w:r>
    </w:p>
    <w:p>
      <w:pPr>
        <w:pStyle w:val="Heading1"/>
      </w:pPr>
      <w:r>
        <w:t>2. Live contract identity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vAlign w:val="center"/>
          </w:tcPr>
          <w:p>
            <w:r/>
            <w:r>
              <w:rPr>
                <w:b/>
                <w:sz w:val="18"/>
              </w:rPr>
              <w:t>Field</w:t>
            </w:r>
          </w:p>
        </w:tc>
        <w:tc>
          <w:tcPr>
            <w:tcW w:type="dxa" w:w="3744"/>
            <w:shd w:fill="D9EAF7"/>
            <w:vAlign w:val="center"/>
          </w:tcPr>
          <w:p>
            <w:r/>
            <w:r>
              <w:rPr>
                <w:b/>
                <w:sz w:val="18"/>
              </w:rPr>
              <w:t>Value</w:t>
            </w:r>
          </w:p>
        </w:tc>
        <w:tc>
          <w:tcPr>
            <w:tcW w:type="dxa" w:w="4320"/>
            <w:shd w:fill="D9EAF7"/>
            <w:vAlign w:val="center"/>
          </w:tcPr>
          <w:p>
            <w:r/>
            <w:r>
              <w:rPr>
                <w:b/>
                <w:sz w:val="18"/>
              </w:rPr>
              <w:t>Verification note</w:t>
            </w:r>
          </w:p>
        </w:tc>
      </w:tr>
      <w:tr>
        <w:tc>
          <w:tcPr>
            <w:tcW w:type="dxa" w:w="2304"/>
            <w:vAlign w:val="top"/>
          </w:tcPr>
          <w:p>
            <w:r/>
            <w:r>
              <w:rPr>
                <w:b w:val="0"/>
                <w:sz w:val="18"/>
              </w:rPr>
              <w:t>Network</w:t>
            </w:r>
          </w:p>
        </w:tc>
        <w:tc>
          <w:tcPr>
            <w:tcW w:type="dxa" w:w="3744"/>
            <w:vAlign w:val="top"/>
          </w:tcPr>
          <w:p>
            <w:r/>
            <w:r>
              <w:rPr>
                <w:b w:val="0"/>
                <w:sz w:val="18"/>
              </w:rPr>
              <w:t>Ethereum mainnet</w:t>
            </w:r>
          </w:p>
        </w:tc>
        <w:tc>
          <w:tcPr>
            <w:tcW w:type="dxa" w:w="4320"/>
            <w:vAlign w:val="top"/>
          </w:tcPr>
          <w:p>
            <w:r/>
            <w:r>
              <w:rPr>
                <w:b w:val="0"/>
                <w:sz w:val="18"/>
              </w:rPr>
              <w:t>Public explorer/token pages identify the token on Ethereum.</w:t>
            </w:r>
          </w:p>
        </w:tc>
      </w:tr>
      <w:tr>
        <w:tc>
          <w:tcPr>
            <w:tcW w:type="dxa" w:w="2304"/>
            <w:vAlign w:val="top"/>
          </w:tcPr>
          <w:p>
            <w:r/>
            <w:r>
              <w:rPr>
                <w:b w:val="0"/>
                <w:sz w:val="18"/>
              </w:rPr>
              <w:t>Token proxy</w:t>
            </w:r>
          </w:p>
        </w:tc>
        <w:tc>
          <w:tcPr>
            <w:tcW w:type="dxa" w:w="3744"/>
            <w:vAlign w:val="top"/>
          </w:tcPr>
          <w:p>
            <w:r/>
            <w:r>
              <w:rPr>
                <w:b w:val="0"/>
                <w:sz w:val="18"/>
              </w:rPr>
              <w:t>0x0a26c80Be4E060e688d7C23aDdB92cBb5D2C9eCA</w:t>
            </w:r>
          </w:p>
        </w:tc>
        <w:tc>
          <w:tcPr>
            <w:tcW w:type="dxa" w:w="4320"/>
            <w:vAlign w:val="top"/>
          </w:tcPr>
          <w:p>
            <w:r/>
            <w:r>
              <w:rPr>
                <w:b w:val="0"/>
                <w:sz w:val="18"/>
              </w:rPr>
              <w:t>Etherscan token page identifies this as the NOX ERC-20 token and shows it as a proxy.</w:t>
            </w:r>
          </w:p>
        </w:tc>
      </w:tr>
      <w:tr>
        <w:tc>
          <w:tcPr>
            <w:tcW w:type="dxa" w:w="2304"/>
            <w:vAlign w:val="top"/>
          </w:tcPr>
          <w:p>
            <w:r/>
            <w:r>
              <w:rPr>
                <w:b w:val="0"/>
                <w:sz w:val="18"/>
              </w:rPr>
              <w:t>Active implementation</w:t>
            </w:r>
          </w:p>
        </w:tc>
        <w:tc>
          <w:tcPr>
            <w:tcW w:type="dxa" w:w="3744"/>
            <w:vAlign w:val="top"/>
          </w:tcPr>
          <w:p>
            <w:r/>
            <w:r>
              <w:rPr>
                <w:b w:val="0"/>
                <w:sz w:val="18"/>
              </w:rPr>
              <w:t>0x43F805D1e6667CFceacB3c117B1d9dC4E5879B7D</w:t>
            </w:r>
          </w:p>
        </w:tc>
        <w:tc>
          <w:tcPr>
            <w:tcW w:type="dxa" w:w="4320"/>
            <w:vAlign w:val="top"/>
          </w:tcPr>
          <w:p>
            <w:r/>
            <w:r>
              <w:rPr>
                <w:b w:val="0"/>
                <w:sz w:val="18"/>
              </w:rPr>
              <w:t>Etherscan shows this as the active implementation for the proxy.</w:t>
            </w:r>
          </w:p>
        </w:tc>
      </w:tr>
      <w:tr>
        <w:tc>
          <w:tcPr>
            <w:tcW w:type="dxa" w:w="2304"/>
            <w:vAlign w:val="top"/>
          </w:tcPr>
          <w:p>
            <w:r/>
            <w:r>
              <w:rPr>
                <w:b w:val="0"/>
                <w:sz w:val="18"/>
              </w:rPr>
              <w:t>Implementation contract name</w:t>
            </w:r>
          </w:p>
        </w:tc>
        <w:tc>
          <w:tcPr>
            <w:tcW w:type="dxa" w:w="3744"/>
            <w:vAlign w:val="top"/>
          </w:tcPr>
          <w:p>
            <w:r/>
            <w:r>
              <w:rPr>
                <w:b w:val="0"/>
                <w:sz w:val="18"/>
              </w:rPr>
              <w:t>NONOS_NOX_MAINNET_V3</w:t>
            </w:r>
          </w:p>
        </w:tc>
        <w:tc>
          <w:tcPr>
            <w:tcW w:type="dxa" w:w="4320"/>
            <w:vAlign w:val="top"/>
          </w:tcPr>
          <w:p>
            <w:r/>
            <w:r>
              <w:rPr>
                <w:b w:val="0"/>
                <w:sz w:val="18"/>
              </w:rPr>
              <w:t>Etherscan verified implementation source.</w:t>
            </w:r>
          </w:p>
        </w:tc>
      </w:tr>
      <w:tr>
        <w:tc>
          <w:tcPr>
            <w:tcW w:type="dxa" w:w="2304"/>
            <w:vAlign w:val="top"/>
          </w:tcPr>
          <w:p>
            <w:r/>
            <w:r>
              <w:rPr>
                <w:b w:val="0"/>
                <w:sz w:val="18"/>
              </w:rPr>
              <w:t>Proxy contract name</w:t>
            </w:r>
          </w:p>
        </w:tc>
        <w:tc>
          <w:tcPr>
            <w:tcW w:type="dxa" w:w="3744"/>
            <w:vAlign w:val="top"/>
          </w:tcPr>
          <w:p>
            <w:r/>
            <w:r>
              <w:rPr>
                <w:b w:val="0"/>
                <w:sz w:val="18"/>
              </w:rPr>
              <w:t>ERC1967Proxy</w:t>
            </w:r>
          </w:p>
        </w:tc>
        <w:tc>
          <w:tcPr>
            <w:tcW w:type="dxa" w:w="4320"/>
            <w:vAlign w:val="top"/>
          </w:tcPr>
          <w:p>
            <w:r/>
            <w:r>
              <w:rPr>
                <w:b w:val="0"/>
                <w:sz w:val="18"/>
              </w:rPr>
              <w:t>Etherscan proxy source page.</w:t>
            </w:r>
          </w:p>
        </w:tc>
      </w:tr>
      <w:tr>
        <w:tc>
          <w:tcPr>
            <w:tcW w:type="dxa" w:w="2304"/>
            <w:vAlign w:val="top"/>
          </w:tcPr>
          <w:p>
            <w:r/>
            <w:r>
              <w:rPr>
                <w:b w:val="0"/>
                <w:sz w:val="18"/>
              </w:rPr>
              <w:t>Compiler for implementation</w:t>
            </w:r>
          </w:p>
        </w:tc>
        <w:tc>
          <w:tcPr>
            <w:tcW w:type="dxa" w:w="3744"/>
            <w:vAlign w:val="top"/>
          </w:tcPr>
          <w:p>
            <w:r/>
            <w:r>
              <w:rPr>
                <w:b w:val="0"/>
                <w:sz w:val="18"/>
              </w:rPr>
              <w:t>Solidity v0.8.24, Paris EVM, optimizer enabled with 1 run</w:t>
            </w:r>
          </w:p>
        </w:tc>
        <w:tc>
          <w:tcPr>
            <w:tcW w:type="dxa" w:w="4320"/>
            <w:vAlign w:val="top"/>
          </w:tcPr>
          <w:p>
            <w:r/>
            <w:r>
              <w:rPr>
                <w:b w:val="0"/>
                <w:sz w:val="18"/>
              </w:rPr>
              <w:t>Etherscan implementation page.</w:t>
            </w:r>
          </w:p>
        </w:tc>
      </w:tr>
      <w:tr>
        <w:tc>
          <w:tcPr>
            <w:tcW w:type="dxa" w:w="2304"/>
            <w:vAlign w:val="top"/>
          </w:tcPr>
          <w:p>
            <w:r/>
            <w:r>
              <w:rPr>
                <w:b w:val="0"/>
                <w:sz w:val="18"/>
              </w:rPr>
              <w:t>Compiler for proxy</w:t>
            </w:r>
          </w:p>
        </w:tc>
        <w:tc>
          <w:tcPr>
            <w:tcW w:type="dxa" w:w="3744"/>
            <w:vAlign w:val="top"/>
          </w:tcPr>
          <w:p>
            <w:r/>
            <w:r>
              <w:rPr>
                <w:b w:val="0"/>
                <w:sz w:val="18"/>
              </w:rPr>
              <w:t>Solidity v0.8.29, Paris EVM, optimizer enabled with 200 runs</w:t>
            </w:r>
          </w:p>
        </w:tc>
        <w:tc>
          <w:tcPr>
            <w:tcW w:type="dxa" w:w="4320"/>
            <w:vAlign w:val="top"/>
          </w:tcPr>
          <w:p>
            <w:r/>
            <w:r>
              <w:rPr>
                <w:b w:val="0"/>
                <w:sz w:val="18"/>
              </w:rPr>
              <w:t>Etherscan proxy page.</w:t>
            </w:r>
          </w:p>
        </w:tc>
      </w:tr>
      <w:tr>
        <w:tc>
          <w:tcPr>
            <w:tcW w:type="dxa" w:w="2304"/>
            <w:vAlign w:val="top"/>
          </w:tcPr>
          <w:p>
            <w:r/>
            <w:r>
              <w:rPr>
                <w:b w:val="0"/>
                <w:sz w:val="18"/>
              </w:rPr>
              <w:t>Token name / symbol</w:t>
            </w:r>
          </w:p>
        </w:tc>
        <w:tc>
          <w:tcPr>
            <w:tcW w:type="dxa" w:w="3744"/>
            <w:vAlign w:val="top"/>
          </w:tcPr>
          <w:p>
            <w:r/>
            <w:r>
              <w:rPr>
                <w:b w:val="0"/>
                <w:sz w:val="18"/>
              </w:rPr>
              <w:t>NONOS / NOX</w:t>
            </w:r>
          </w:p>
        </w:tc>
        <w:tc>
          <w:tcPr>
            <w:tcW w:type="dxa" w:w="4320"/>
            <w:vAlign w:val="top"/>
          </w:tcPr>
          <w:p>
            <w:r/>
            <w:r>
              <w:rPr>
                <w:b w:val="0"/>
                <w:sz w:val="18"/>
              </w:rPr>
              <w:t>Implementation initializes ERC20 as NONOS and NOX.</w:t>
            </w:r>
          </w:p>
        </w:tc>
      </w:tr>
      <w:tr>
        <w:tc>
          <w:tcPr>
            <w:tcW w:type="dxa" w:w="2304"/>
            <w:vAlign w:val="top"/>
          </w:tcPr>
          <w:p>
            <w:r/>
            <w:r>
              <w:rPr>
                <w:b w:val="0"/>
                <w:sz w:val="18"/>
              </w:rPr>
              <w:t>Decimals</w:t>
            </w:r>
          </w:p>
        </w:tc>
        <w:tc>
          <w:tcPr>
            <w:tcW w:type="dxa" w:w="3744"/>
            <w:vAlign w:val="top"/>
          </w:tcPr>
          <w:p>
            <w:r/>
            <w:r>
              <w:rPr>
                <w:b w:val="0"/>
                <w:sz w:val="18"/>
              </w:rPr>
              <w:t>18</w:t>
            </w:r>
          </w:p>
        </w:tc>
        <w:tc>
          <w:tcPr>
            <w:tcW w:type="dxa" w:w="4320"/>
            <w:vAlign w:val="top"/>
          </w:tcPr>
          <w:p>
            <w:r/>
            <w:r>
              <w:rPr>
                <w:b w:val="0"/>
                <w:sz w:val="18"/>
              </w:rPr>
              <w:t>Standard ERC-20 decimals exposed by ABI.</w:t>
            </w:r>
          </w:p>
        </w:tc>
      </w:tr>
      <w:tr>
        <w:tc>
          <w:tcPr>
            <w:tcW w:type="dxa" w:w="2304"/>
            <w:vAlign w:val="top"/>
          </w:tcPr>
          <w:p>
            <w:r/>
            <w:r>
              <w:rPr>
                <w:b w:val="0"/>
                <w:sz w:val="18"/>
              </w:rPr>
              <w:t>Max supply constant</w:t>
            </w:r>
          </w:p>
        </w:tc>
        <w:tc>
          <w:tcPr>
            <w:tcW w:type="dxa" w:w="3744"/>
            <w:vAlign w:val="top"/>
          </w:tcPr>
          <w:p>
            <w:r/>
            <w:r>
              <w:rPr>
                <w:b w:val="0"/>
                <w:sz w:val="18"/>
              </w:rPr>
              <w:t>800,000,000 NOX</w:t>
            </w:r>
          </w:p>
        </w:tc>
        <w:tc>
          <w:tcPr>
            <w:tcW w:type="dxa" w:w="4320"/>
            <w:vAlign w:val="top"/>
          </w:tcPr>
          <w:p>
            <w:r/>
            <w:r>
              <w:rPr>
                <w:b w:val="0"/>
                <w:sz w:val="18"/>
              </w:rPr>
              <w:t>MAX_SUPPLY = 800_000_000e18 in implementation source.</w:t>
            </w:r>
          </w:p>
        </w:tc>
      </w:tr>
      <w:tr>
        <w:tc>
          <w:tcPr>
            <w:tcW w:type="dxa" w:w="2304"/>
            <w:vAlign w:val="top"/>
          </w:tcPr>
          <w:p>
            <w:r/>
            <w:r>
              <w:rPr>
                <w:b w:val="0"/>
                <w:sz w:val="18"/>
              </w:rPr>
              <w:t>Observed supply snapshot</w:t>
            </w:r>
          </w:p>
        </w:tc>
        <w:tc>
          <w:tcPr>
            <w:tcW w:type="dxa" w:w="3744"/>
            <w:vAlign w:val="top"/>
          </w:tcPr>
          <w:p>
            <w:r/>
            <w:r>
              <w:rPr>
                <w:b w:val="0"/>
                <w:sz w:val="18"/>
              </w:rPr>
              <w:t>About 796.408M NOX</w:t>
            </w:r>
          </w:p>
        </w:tc>
        <w:tc>
          <w:tcPr>
            <w:tcW w:type="dxa" w:w="4320"/>
            <w:vAlign w:val="top"/>
          </w:tcPr>
          <w:p>
            <w:r/>
            <w:r>
              <w:rPr>
                <w:b w:val="0"/>
                <w:sz w:val="18"/>
              </w:rPr>
              <w:t>Etherscan/CoinGecko snapshots vary slightly over time because burns can reduce total supply.</w:t>
            </w:r>
          </w:p>
        </w:tc>
      </w:tr>
    </w:tbl>
    <w:p/>
    <w:p>
      <w:pPr>
        <w:pStyle w:val="Heading1"/>
      </w:pPr>
      <w:r>
        <w:t>3. Architecture</w:t>
      </w:r>
    </w:p>
    <w:p>
      <w:r>
        <w:t>NOX is deployed behind an ERC1967 proxy. Users interact with the proxy address. The proxy delegates calls to the active implementation. Storage lives at the proxy address; implementation code can change through UUPS upgrade authorization if the UPGRADER_ROLE authorizes an upgrade.</w:t>
      </w:r>
    </w:p>
    <w:p>
      <w:r>
        <w:t>Practical result: wallet balances, allowances, fee config, blacklist flags, LP pair config, roles, and token supply are all state on the proxy, while function logic is supplied by the current implementation.</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vAlign w:val="center"/>
          </w:tcPr>
          <w:p>
            <w:r/>
            <w:r>
              <w:rPr>
                <w:b/>
                <w:sz w:val="18"/>
              </w:rPr>
              <w:t>Layer</w:t>
            </w:r>
          </w:p>
        </w:tc>
        <w:tc>
          <w:tcPr>
            <w:tcW w:type="dxa" w:w="4464"/>
            <w:shd w:fill="D9EAF7"/>
            <w:vAlign w:val="center"/>
          </w:tcPr>
          <w:p>
            <w:r/>
            <w:r>
              <w:rPr>
                <w:b/>
                <w:sz w:val="18"/>
              </w:rPr>
              <w:t>What it does</w:t>
            </w:r>
          </w:p>
        </w:tc>
        <w:tc>
          <w:tcPr>
            <w:tcW w:type="dxa" w:w="3456"/>
            <w:shd w:fill="D9EAF7"/>
            <w:vAlign w:val="center"/>
          </w:tcPr>
          <w:p>
            <w:r/>
            <w:r>
              <w:rPr>
                <w:b/>
                <w:sz w:val="18"/>
              </w:rPr>
              <w:t>Risk/impact</w:t>
            </w:r>
          </w:p>
        </w:tc>
      </w:tr>
      <w:tr>
        <w:tc>
          <w:tcPr>
            <w:tcW w:type="dxa" w:w="2448"/>
            <w:vAlign w:val="top"/>
          </w:tcPr>
          <w:p>
            <w:r/>
            <w:r>
              <w:rPr>
                <w:b w:val="0"/>
                <w:sz w:val="18"/>
              </w:rPr>
              <w:t>ERC1967 proxy</w:t>
            </w:r>
          </w:p>
        </w:tc>
        <w:tc>
          <w:tcPr>
            <w:tcW w:type="dxa" w:w="4464"/>
            <w:vAlign w:val="top"/>
          </w:tcPr>
          <w:p>
            <w:r/>
            <w:r>
              <w:rPr>
                <w:b w:val="0"/>
                <w:sz w:val="18"/>
              </w:rPr>
              <w:t>Holds live storage and delegates calls to implementation.</w:t>
            </w:r>
          </w:p>
        </w:tc>
        <w:tc>
          <w:tcPr>
            <w:tcW w:type="dxa" w:w="3456"/>
            <w:vAlign w:val="top"/>
          </w:tcPr>
          <w:p>
            <w:r/>
            <w:r>
              <w:rPr>
                <w:b w:val="0"/>
                <w:sz w:val="18"/>
              </w:rPr>
              <w:t>The proxy address is the token address users hold and trade.</w:t>
            </w:r>
          </w:p>
        </w:tc>
      </w:tr>
      <w:tr>
        <w:tc>
          <w:tcPr>
            <w:tcW w:type="dxa" w:w="2448"/>
            <w:vAlign w:val="top"/>
          </w:tcPr>
          <w:p>
            <w:r/>
            <w:r>
              <w:rPr>
                <w:b w:val="0"/>
                <w:sz w:val="18"/>
              </w:rPr>
              <w:t>NONOS_NOX_MAINNET_V3 implementation</w:t>
            </w:r>
          </w:p>
        </w:tc>
        <w:tc>
          <w:tcPr>
            <w:tcW w:type="dxa" w:w="4464"/>
            <w:vAlign w:val="top"/>
          </w:tcPr>
          <w:p>
            <w:r/>
            <w:r>
              <w:rPr>
                <w:b w:val="0"/>
                <w:sz w:val="18"/>
              </w:rPr>
              <w:t>Contains token logic: transfers, fees, burn, auto-liquidity, roles, and UUPS authorization.</w:t>
            </w:r>
          </w:p>
        </w:tc>
        <w:tc>
          <w:tcPr>
            <w:tcW w:type="dxa" w:w="3456"/>
            <w:vAlign w:val="top"/>
          </w:tcPr>
          <w:p>
            <w:r/>
            <w:r>
              <w:rPr>
                <w:b w:val="0"/>
                <w:sz w:val="18"/>
              </w:rPr>
              <w:t>Can be replaced through authorized upgrade if UPGRADER_ROLE is controlled.</w:t>
            </w:r>
          </w:p>
        </w:tc>
      </w:tr>
      <w:tr>
        <w:tc>
          <w:tcPr>
            <w:tcW w:type="dxa" w:w="2448"/>
            <w:vAlign w:val="top"/>
          </w:tcPr>
          <w:p>
            <w:r/>
            <w:r>
              <w:rPr>
                <w:b w:val="0"/>
                <w:sz w:val="18"/>
              </w:rPr>
              <w:t>AccessControl roles</w:t>
            </w:r>
          </w:p>
        </w:tc>
        <w:tc>
          <w:tcPr>
            <w:tcW w:type="dxa" w:w="4464"/>
            <w:vAlign w:val="top"/>
          </w:tcPr>
          <w:p>
            <w:r/>
            <w:r>
              <w:rPr>
                <w:b w:val="0"/>
                <w:sz w:val="18"/>
              </w:rPr>
              <w:t>DEFAULT_ADMIN_ROLE, GOVERNOR_ROLE, UPGRADER_ROLE, EMERGENCY_ROLE.</w:t>
            </w:r>
          </w:p>
        </w:tc>
        <w:tc>
          <w:tcPr>
            <w:tcW w:type="dxa" w:w="3456"/>
            <w:vAlign w:val="top"/>
          </w:tcPr>
          <w:p>
            <w:r/>
            <w:r>
              <w:rPr>
                <w:b w:val="0"/>
                <w:sz w:val="18"/>
              </w:rPr>
              <w:t>Role holders control privileged operations.</w:t>
            </w:r>
          </w:p>
        </w:tc>
      </w:tr>
      <w:tr>
        <w:tc>
          <w:tcPr>
            <w:tcW w:type="dxa" w:w="2448"/>
            <w:vAlign w:val="top"/>
          </w:tcPr>
          <w:p>
            <w:r/>
            <w:r>
              <w:rPr>
                <w:b w:val="0"/>
                <w:sz w:val="18"/>
              </w:rPr>
              <w:t>Uniswap integration</w:t>
            </w:r>
          </w:p>
        </w:tc>
        <w:tc>
          <w:tcPr>
            <w:tcW w:type="dxa" w:w="4464"/>
            <w:vAlign w:val="top"/>
          </w:tcPr>
          <w:p>
            <w:r/>
            <w:r>
              <w:rPr>
                <w:b w:val="0"/>
                <w:sz w:val="18"/>
              </w:rPr>
              <w:t>Stores router and pair; can auto-swap fee tokens and add liquidity.</w:t>
            </w:r>
          </w:p>
        </w:tc>
        <w:tc>
          <w:tcPr>
            <w:tcW w:type="dxa" w:w="3456"/>
            <w:vAlign w:val="top"/>
          </w:tcPr>
          <w:p>
            <w:r/>
            <w:r>
              <w:rPr>
                <w:b w:val="0"/>
                <w:sz w:val="18"/>
              </w:rPr>
              <w:t>Sell transactions can trigger auto-liquidity when threshold is met.</w:t>
            </w:r>
          </w:p>
        </w:tc>
      </w:tr>
    </w:tbl>
    <w:p/>
    <w:p>
      <w:pPr>
        <w:pStyle w:val="Heading1"/>
      </w:pPr>
      <w:r>
        <w:t>4. Inheritance and standards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r/>
            <w:r>
              <w:rPr>
                <w:b/>
                <w:sz w:val="18"/>
              </w:rPr>
              <w:t>Component</w:t>
            </w:r>
          </w:p>
        </w:tc>
        <w:tc>
          <w:tcPr>
            <w:tcW w:type="dxa" w:w="4464"/>
            <w:shd w:fill="D9EAF7"/>
            <w:vAlign w:val="center"/>
          </w:tcPr>
          <w:p>
            <w:r/>
            <w:r>
              <w:rPr>
                <w:b/>
                <w:sz w:val="18"/>
              </w:rPr>
              <w:t>Purpose</w:t>
            </w:r>
          </w:p>
        </w:tc>
        <w:tc>
          <w:tcPr>
            <w:tcW w:type="dxa" w:w="3168"/>
            <w:shd w:fill="D9EAF7"/>
            <w:vAlign w:val="center"/>
          </w:tcPr>
          <w:p>
            <w:r/>
            <w:r>
              <w:rPr>
                <w:b/>
                <w:sz w:val="18"/>
              </w:rPr>
              <w:t>Notes</w:t>
            </w:r>
          </w:p>
        </w:tc>
      </w:tr>
      <w:tr>
        <w:tc>
          <w:tcPr>
            <w:tcW w:type="dxa" w:w="2880"/>
            <w:vAlign w:val="top"/>
          </w:tcPr>
          <w:p>
            <w:r/>
            <w:r>
              <w:rPr>
                <w:b w:val="0"/>
                <w:sz w:val="18"/>
              </w:rPr>
              <w:t>Initializable</w:t>
            </w:r>
          </w:p>
        </w:tc>
        <w:tc>
          <w:tcPr>
            <w:tcW w:type="dxa" w:w="4464"/>
            <w:vAlign w:val="top"/>
          </w:tcPr>
          <w:p>
            <w:r/>
            <w:r>
              <w:rPr>
                <w:b w:val="0"/>
                <w:sz w:val="18"/>
              </w:rPr>
              <w:t>Upgradeable initializer pattern.</w:t>
            </w:r>
          </w:p>
        </w:tc>
        <w:tc>
          <w:tcPr>
            <w:tcW w:type="dxa" w:w="3168"/>
            <w:vAlign w:val="top"/>
          </w:tcPr>
          <w:p>
            <w:r/>
            <w:r>
              <w:rPr>
                <w:b w:val="0"/>
                <w:sz w:val="18"/>
              </w:rPr>
              <w:t>Constructor disables initializers on the implementation contract.</w:t>
            </w:r>
          </w:p>
        </w:tc>
      </w:tr>
      <w:tr>
        <w:tc>
          <w:tcPr>
            <w:tcW w:type="dxa" w:w="2880"/>
            <w:vAlign w:val="top"/>
          </w:tcPr>
          <w:p>
            <w:r/>
            <w:r>
              <w:rPr>
                <w:b w:val="0"/>
                <w:sz w:val="18"/>
              </w:rPr>
              <w:t>UUPSUpgradeable</w:t>
            </w:r>
          </w:p>
        </w:tc>
        <w:tc>
          <w:tcPr>
            <w:tcW w:type="dxa" w:w="4464"/>
            <w:vAlign w:val="top"/>
          </w:tcPr>
          <w:p>
            <w:r/>
            <w:r>
              <w:rPr>
                <w:b w:val="0"/>
                <w:sz w:val="18"/>
              </w:rPr>
              <w:t>Implementation-controlled upgrade authorization.</w:t>
            </w:r>
          </w:p>
        </w:tc>
        <w:tc>
          <w:tcPr>
            <w:tcW w:type="dxa" w:w="3168"/>
            <w:vAlign w:val="top"/>
          </w:tcPr>
          <w:p>
            <w:r/>
            <w:r>
              <w:rPr>
                <w:b w:val="0"/>
                <w:sz w:val="18"/>
              </w:rPr>
              <w:t>_authorizeUpgrade requires UPGRADER_ROLE.</w:t>
            </w:r>
          </w:p>
        </w:tc>
      </w:tr>
      <w:tr>
        <w:tc>
          <w:tcPr>
            <w:tcW w:type="dxa" w:w="2880"/>
            <w:vAlign w:val="top"/>
          </w:tcPr>
          <w:p>
            <w:r/>
            <w:r>
              <w:rPr>
                <w:b w:val="0"/>
                <w:sz w:val="18"/>
              </w:rPr>
              <w:t>ERC20Upgradeable</w:t>
            </w:r>
          </w:p>
        </w:tc>
        <w:tc>
          <w:tcPr>
            <w:tcW w:type="dxa" w:w="4464"/>
            <w:vAlign w:val="top"/>
          </w:tcPr>
          <w:p>
            <w:r/>
            <w:r>
              <w:rPr>
                <w:b w:val="0"/>
                <w:sz w:val="18"/>
              </w:rPr>
              <w:t>Core ERC-20 transfer, balance, allowance, supply logic.</w:t>
            </w:r>
          </w:p>
        </w:tc>
        <w:tc>
          <w:tcPr>
            <w:tcW w:type="dxa" w:w="3168"/>
            <w:vAlign w:val="top"/>
          </w:tcPr>
          <w:p>
            <w:r/>
            <w:r>
              <w:rPr>
                <w:b w:val="0"/>
                <w:sz w:val="18"/>
              </w:rPr>
              <w:t>Name is NONOS; symbol is NOX.</w:t>
            </w:r>
          </w:p>
        </w:tc>
      </w:tr>
      <w:tr>
        <w:tc>
          <w:tcPr>
            <w:tcW w:type="dxa" w:w="2880"/>
            <w:vAlign w:val="top"/>
          </w:tcPr>
          <w:p>
            <w:r/>
            <w:r>
              <w:rPr>
                <w:b w:val="0"/>
                <w:sz w:val="18"/>
              </w:rPr>
              <w:t>ERC20BurnableUpgradeable</w:t>
            </w:r>
          </w:p>
        </w:tc>
        <w:tc>
          <w:tcPr>
            <w:tcW w:type="dxa" w:w="4464"/>
            <w:vAlign w:val="top"/>
          </w:tcPr>
          <w:p>
            <w:r/>
            <w:r>
              <w:rPr>
                <w:b w:val="0"/>
                <w:sz w:val="18"/>
              </w:rPr>
              <w:t>Allows burn() and burnFrom().</w:t>
            </w:r>
          </w:p>
        </w:tc>
        <w:tc>
          <w:tcPr>
            <w:tcW w:type="dxa" w:w="3168"/>
            <w:vAlign w:val="top"/>
          </w:tcPr>
          <w:p>
            <w:r/>
            <w:r>
              <w:rPr>
                <w:b w:val="0"/>
                <w:sz w:val="18"/>
              </w:rPr>
              <w:t>Anyone can burn their own NOX; approved spenders can burnFrom.</w:t>
            </w:r>
          </w:p>
        </w:tc>
      </w:tr>
      <w:tr>
        <w:tc>
          <w:tcPr>
            <w:tcW w:type="dxa" w:w="2880"/>
            <w:vAlign w:val="top"/>
          </w:tcPr>
          <w:p>
            <w:r/>
            <w:r>
              <w:rPr>
                <w:b w:val="0"/>
                <w:sz w:val="18"/>
              </w:rPr>
              <w:t>ERC20PermitUpgradeable</w:t>
            </w:r>
          </w:p>
        </w:tc>
        <w:tc>
          <w:tcPr>
            <w:tcW w:type="dxa" w:w="4464"/>
            <w:vAlign w:val="top"/>
          </w:tcPr>
          <w:p>
            <w:r/>
            <w:r>
              <w:rPr>
                <w:b w:val="0"/>
                <w:sz w:val="18"/>
              </w:rPr>
              <w:t>EIP-2612 style approvals by signature.</w:t>
            </w:r>
          </w:p>
        </w:tc>
        <w:tc>
          <w:tcPr>
            <w:tcW w:type="dxa" w:w="3168"/>
            <w:vAlign w:val="top"/>
          </w:tcPr>
          <w:p>
            <w:r/>
            <w:r>
              <w:rPr>
                <w:b w:val="0"/>
                <w:sz w:val="18"/>
              </w:rPr>
              <w:t>Supports permit/nonces/DOMAIN_SEPARATOR.</w:t>
            </w:r>
          </w:p>
        </w:tc>
      </w:tr>
      <w:tr>
        <w:tc>
          <w:tcPr>
            <w:tcW w:type="dxa" w:w="2880"/>
            <w:vAlign w:val="top"/>
          </w:tcPr>
          <w:p>
            <w:r/>
            <w:r>
              <w:rPr>
                <w:b w:val="0"/>
                <w:sz w:val="18"/>
              </w:rPr>
              <w:t>ERC20PausableUpgradeable</w:t>
            </w:r>
          </w:p>
        </w:tc>
        <w:tc>
          <w:tcPr>
            <w:tcW w:type="dxa" w:w="4464"/>
            <w:vAlign w:val="top"/>
          </w:tcPr>
          <w:p>
            <w:r/>
            <w:r>
              <w:rPr>
                <w:b w:val="0"/>
                <w:sz w:val="18"/>
              </w:rPr>
              <w:t>Pause hooks are inherited.</w:t>
            </w:r>
          </w:p>
        </w:tc>
        <w:tc>
          <w:tcPr>
            <w:tcW w:type="dxa" w:w="3168"/>
            <w:vAlign w:val="top"/>
          </w:tcPr>
          <w:p>
            <w:r/>
            <w:r>
              <w:rPr>
                <w:b w:val="0"/>
                <w:sz w:val="18"/>
              </w:rPr>
              <w:t>ABI exposes paused() because of inheritance, but reviewed source does not expose external pause/unpause functions.</w:t>
            </w:r>
          </w:p>
        </w:tc>
      </w:tr>
      <w:tr>
        <w:tc>
          <w:tcPr>
            <w:tcW w:type="dxa" w:w="2880"/>
            <w:vAlign w:val="top"/>
          </w:tcPr>
          <w:p>
            <w:r/>
            <w:r>
              <w:rPr>
                <w:b w:val="0"/>
                <w:sz w:val="18"/>
              </w:rPr>
              <w:t>AccessControlUpgradeable</w:t>
            </w:r>
          </w:p>
        </w:tc>
        <w:tc>
          <w:tcPr>
            <w:tcW w:type="dxa" w:w="4464"/>
            <w:vAlign w:val="top"/>
          </w:tcPr>
          <w:p>
            <w:r/>
            <w:r>
              <w:rPr>
                <w:b w:val="0"/>
                <w:sz w:val="18"/>
              </w:rPr>
              <w:t>Role-based permission system.</w:t>
            </w:r>
          </w:p>
        </w:tc>
        <w:tc>
          <w:tcPr>
            <w:tcW w:type="dxa" w:w="3168"/>
            <w:vAlign w:val="top"/>
          </w:tcPr>
          <w:p>
            <w:r/>
            <w:r>
              <w:rPr>
                <w:b w:val="0"/>
                <w:sz w:val="18"/>
              </w:rPr>
              <w:t>Admin can grant/revoke roles unless governance changes admin role structure.</w:t>
            </w:r>
          </w:p>
        </w:tc>
      </w:tr>
    </w:tbl>
    <w:p/>
    <w:p>
      <w:pPr>
        <w:pStyle w:val="Heading1"/>
      </w:pPr>
      <w:r>
        <w:t>5. Supply and initial allocation logic</w:t>
      </w:r>
    </w:p>
    <w:p>
      <w:r>
        <w:t>The implementation has MAX_SUPPLY = 800,000,000e18. The initializer mints the full max supply once. No public mint function exists in the reviewed implementation after initialization.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Initial recipient bucket</w:t>
            </w:r>
          </w:p>
        </w:tc>
        <w:tc>
          <w:tcPr>
            <w:tcW w:type="dxa" w:w="3456"/>
            <w:shd w:fill="D9EAF7"/>
            <w:vAlign w:val="center"/>
          </w:tcPr>
          <w:p>
            <w:r/>
            <w:r>
              <w:rPr>
                <w:b/>
                <w:sz w:val="18"/>
              </w:rPr>
              <w:t>Allocation from MAX_SUPPLY</w:t>
            </w:r>
          </w:p>
        </w:tc>
        <w:tc>
          <w:tcPr>
            <w:tcW w:type="dxa" w:w="2880"/>
            <w:shd w:fill="D9EAF7"/>
            <w:vAlign w:val="center"/>
          </w:tcPr>
          <w:p>
            <w:r/>
            <w:r>
              <w:rPr>
                <w:b/>
                <w:sz w:val="18"/>
              </w:rPr>
              <w:t>Approx. NOX</w:t>
            </w:r>
          </w:p>
        </w:tc>
      </w:tr>
      <w:tr>
        <w:tc>
          <w:tcPr>
            <w:tcW w:type="dxa" w:w="3456"/>
            <w:vAlign w:val="top"/>
          </w:tcPr>
          <w:p>
            <w:r/>
            <w:r>
              <w:rPr>
                <w:b w:val="0"/>
                <w:sz w:val="18"/>
              </w:rPr>
              <w:t>devWallet</w:t>
            </w:r>
          </w:p>
        </w:tc>
        <w:tc>
          <w:tcPr>
            <w:tcW w:type="dxa" w:w="3456"/>
            <w:vAlign w:val="top"/>
          </w:tcPr>
          <w:p>
            <w:r/>
            <w:r>
              <w:rPr>
                <w:b w:val="0"/>
                <w:sz w:val="18"/>
              </w:rPr>
              <w:t>3.00%</w:t>
            </w:r>
          </w:p>
        </w:tc>
        <w:tc>
          <w:tcPr>
            <w:tcW w:type="dxa" w:w="2880"/>
            <w:vAlign w:val="top"/>
          </w:tcPr>
          <w:p>
            <w:r/>
            <w:r>
              <w:rPr>
                <w:b w:val="0"/>
                <w:sz w:val="18"/>
              </w:rPr>
              <w:t>24,000,000</w:t>
            </w:r>
          </w:p>
        </w:tc>
      </w:tr>
      <w:tr>
        <w:tc>
          <w:tcPr>
            <w:tcW w:type="dxa" w:w="3456"/>
            <w:vAlign w:val="top"/>
          </w:tcPr>
          <w:p>
            <w:r/>
            <w:r>
              <w:rPr>
                <w:b w:val="0"/>
                <w:sz w:val="18"/>
              </w:rPr>
              <w:t>stakingVault</w:t>
            </w:r>
          </w:p>
        </w:tc>
        <w:tc>
          <w:tcPr>
            <w:tcW w:type="dxa" w:w="3456"/>
            <w:vAlign w:val="top"/>
          </w:tcPr>
          <w:p>
            <w:r/>
            <w:r>
              <w:rPr>
                <w:b w:val="0"/>
                <w:sz w:val="18"/>
              </w:rPr>
              <w:t>4.00%</w:t>
            </w:r>
          </w:p>
        </w:tc>
        <w:tc>
          <w:tcPr>
            <w:tcW w:type="dxa" w:w="2880"/>
            <w:vAlign w:val="top"/>
          </w:tcPr>
          <w:p>
            <w:r/>
            <w:r>
              <w:rPr>
                <w:b w:val="0"/>
                <w:sz w:val="18"/>
              </w:rPr>
              <w:t>32,000,000</w:t>
            </w:r>
          </w:p>
        </w:tc>
      </w:tr>
      <w:tr>
        <w:tc>
          <w:tcPr>
            <w:tcW w:type="dxa" w:w="3456"/>
            <w:vAlign w:val="top"/>
          </w:tcPr>
          <w:p>
            <w:r/>
            <w:r>
              <w:rPr>
                <w:b w:val="0"/>
                <w:sz w:val="18"/>
              </w:rPr>
              <w:t>daoWallet / treasury</w:t>
            </w:r>
          </w:p>
        </w:tc>
        <w:tc>
          <w:tcPr>
            <w:tcW w:type="dxa" w:w="3456"/>
            <w:vAlign w:val="top"/>
          </w:tcPr>
          <w:p>
            <w:r/>
            <w:r>
              <w:rPr>
                <w:b w:val="0"/>
                <w:sz w:val="18"/>
              </w:rPr>
              <w:t>3.00%</w:t>
            </w:r>
          </w:p>
        </w:tc>
        <w:tc>
          <w:tcPr>
            <w:tcW w:type="dxa" w:w="2880"/>
            <w:vAlign w:val="top"/>
          </w:tcPr>
          <w:p>
            <w:r/>
            <w:r>
              <w:rPr>
                <w:b w:val="0"/>
                <w:sz w:val="18"/>
              </w:rPr>
              <w:t>24,000,000</w:t>
            </w:r>
          </w:p>
        </w:tc>
      </w:tr>
      <w:tr>
        <w:tc>
          <w:tcPr>
            <w:tcW w:type="dxa" w:w="3456"/>
            <w:vAlign w:val="top"/>
          </w:tcPr>
          <w:p>
            <w:r/>
            <w:r>
              <w:rPr>
                <w:b w:val="0"/>
                <w:sz w:val="18"/>
              </w:rPr>
              <w:t>liquidityCollector</w:t>
            </w:r>
          </w:p>
        </w:tc>
        <w:tc>
          <w:tcPr>
            <w:tcW w:type="dxa" w:w="3456"/>
            <w:vAlign w:val="top"/>
          </w:tcPr>
          <w:p>
            <w:r/>
            <w:r>
              <w:rPr>
                <w:b w:val="0"/>
                <w:sz w:val="18"/>
              </w:rPr>
              <w:t>4.00%</w:t>
            </w:r>
          </w:p>
        </w:tc>
        <w:tc>
          <w:tcPr>
            <w:tcW w:type="dxa" w:w="2880"/>
            <w:vAlign w:val="top"/>
          </w:tcPr>
          <w:p>
            <w:r/>
            <w:r>
              <w:rPr>
                <w:b w:val="0"/>
                <w:sz w:val="18"/>
              </w:rPr>
              <w:t>32,000,000</w:t>
            </w:r>
          </w:p>
        </w:tc>
      </w:tr>
      <w:tr>
        <w:tc>
          <w:tcPr>
            <w:tcW w:type="dxa" w:w="3456"/>
            <w:vAlign w:val="top"/>
          </w:tcPr>
          <w:p>
            <w:r/>
            <w:r>
              <w:rPr>
                <w:b w:val="0"/>
                <w:sz w:val="18"/>
              </w:rPr>
              <w:t>cexListingsWallet</w:t>
            </w:r>
          </w:p>
        </w:tc>
        <w:tc>
          <w:tcPr>
            <w:tcW w:type="dxa" w:w="3456"/>
            <w:vAlign w:val="top"/>
          </w:tcPr>
          <w:p>
            <w:r/>
            <w:r>
              <w:rPr>
                <w:b w:val="0"/>
                <w:sz w:val="18"/>
              </w:rPr>
              <w:t>4.00%</w:t>
            </w:r>
          </w:p>
        </w:tc>
        <w:tc>
          <w:tcPr>
            <w:tcW w:type="dxa" w:w="2880"/>
            <w:vAlign w:val="top"/>
          </w:tcPr>
          <w:p>
            <w:r/>
            <w:r>
              <w:rPr>
                <w:b w:val="0"/>
                <w:sz w:val="18"/>
              </w:rPr>
              <w:t>32,000,000</w:t>
            </w:r>
          </w:p>
        </w:tc>
      </w:tr>
      <w:tr>
        <w:tc>
          <w:tcPr>
            <w:tcW w:type="dxa" w:w="3456"/>
            <w:vAlign w:val="top"/>
          </w:tcPr>
          <w:p>
            <w:r/>
            <w:r>
              <w:rPr>
                <w:b w:val="0"/>
                <w:sz w:val="18"/>
              </w:rPr>
              <w:t>contributorsWallet</w:t>
            </w:r>
          </w:p>
        </w:tc>
        <w:tc>
          <w:tcPr>
            <w:tcW w:type="dxa" w:w="3456"/>
            <w:vAlign w:val="top"/>
          </w:tcPr>
          <w:p>
            <w:r/>
            <w:r>
              <w:rPr>
                <w:b w:val="0"/>
                <w:sz w:val="18"/>
              </w:rPr>
              <w:t>3.00%</w:t>
            </w:r>
          </w:p>
        </w:tc>
        <w:tc>
          <w:tcPr>
            <w:tcW w:type="dxa" w:w="2880"/>
            <w:vAlign w:val="top"/>
          </w:tcPr>
          <w:p>
            <w:r/>
            <w:r>
              <w:rPr>
                <w:b w:val="0"/>
                <w:sz w:val="18"/>
              </w:rPr>
              <w:t>24,000,000</w:t>
            </w:r>
          </w:p>
        </w:tc>
      </w:tr>
      <w:tr>
        <w:tc>
          <w:tcPr>
            <w:tcW w:type="dxa" w:w="3456"/>
            <w:vAlign w:val="top"/>
          </w:tcPr>
          <w:p>
            <w:r/>
            <w:r>
              <w:rPr>
                <w:b w:val="0"/>
                <w:sz w:val="18"/>
              </w:rPr>
              <w:t>nftsWallet</w:t>
            </w:r>
          </w:p>
        </w:tc>
        <w:tc>
          <w:tcPr>
            <w:tcW w:type="dxa" w:w="3456"/>
            <w:vAlign w:val="top"/>
          </w:tcPr>
          <w:p>
            <w:r/>
            <w:r>
              <w:rPr>
                <w:b w:val="0"/>
                <w:sz w:val="18"/>
              </w:rPr>
              <w:t>1.50%</w:t>
            </w:r>
          </w:p>
        </w:tc>
        <w:tc>
          <w:tcPr>
            <w:tcW w:type="dxa" w:w="2880"/>
            <w:vAlign w:val="top"/>
          </w:tcPr>
          <w:p>
            <w:r/>
            <w:r>
              <w:rPr>
                <w:b w:val="0"/>
                <w:sz w:val="18"/>
              </w:rPr>
              <w:t>12,000,000</w:t>
            </w:r>
          </w:p>
        </w:tc>
      </w:tr>
      <w:tr>
        <w:tc>
          <w:tcPr>
            <w:tcW w:type="dxa" w:w="3456"/>
            <w:vAlign w:val="top"/>
          </w:tcPr>
          <w:p>
            <w:r/>
            <w:r>
              <w:rPr>
                <w:b w:val="0"/>
                <w:sz w:val="18"/>
              </w:rPr>
              <w:t>marketingWallet</w:t>
            </w:r>
          </w:p>
        </w:tc>
        <w:tc>
          <w:tcPr>
            <w:tcW w:type="dxa" w:w="3456"/>
            <w:vAlign w:val="top"/>
          </w:tcPr>
          <w:p>
            <w:r/>
            <w:r>
              <w:rPr>
                <w:b w:val="0"/>
                <w:sz w:val="18"/>
              </w:rPr>
              <w:t>2.50%</w:t>
            </w:r>
          </w:p>
        </w:tc>
        <w:tc>
          <w:tcPr>
            <w:tcW w:type="dxa" w:w="2880"/>
            <w:vAlign w:val="top"/>
          </w:tcPr>
          <w:p>
            <w:r/>
            <w:r>
              <w:rPr>
                <w:b w:val="0"/>
                <w:sz w:val="18"/>
              </w:rPr>
              <w:t>20,000,000</w:t>
            </w:r>
          </w:p>
        </w:tc>
      </w:tr>
      <w:tr>
        <w:tc>
          <w:tcPr>
            <w:tcW w:type="dxa" w:w="3456"/>
            <w:vAlign w:val="top"/>
          </w:tcPr>
          <w:p>
            <w:r/>
            <w:r>
              <w:rPr>
                <w:b w:val="0"/>
                <w:sz w:val="18"/>
              </w:rPr>
              <w:t>mainReceiver</w:t>
            </w:r>
          </w:p>
        </w:tc>
        <w:tc>
          <w:tcPr>
            <w:tcW w:type="dxa" w:w="3456"/>
            <w:vAlign w:val="top"/>
          </w:tcPr>
          <w:p>
            <w:r/>
            <w:r>
              <w:rPr>
                <w:b w:val="0"/>
                <w:sz w:val="18"/>
              </w:rPr>
              <w:t>75.00%</w:t>
            </w:r>
          </w:p>
        </w:tc>
        <w:tc>
          <w:tcPr>
            <w:tcW w:type="dxa" w:w="2880"/>
            <w:vAlign w:val="top"/>
          </w:tcPr>
          <w:p>
            <w:r/>
            <w:r>
              <w:rPr>
                <w:b w:val="0"/>
                <w:sz w:val="18"/>
              </w:rPr>
              <w:t>600,000,000</w:t>
            </w:r>
          </w:p>
        </w:tc>
      </w:tr>
    </w:tbl>
    <w:p/>
    <w:p>
      <w:r>
        <w:t>The code marks the deployer, contract itself, mainReceiver, and allocation wallets as feeExempt and limitsExempt during initialization.</w:t>
      </w:r>
    </w:p>
    <w:p>
      <w:pPr>
        <w:pStyle w:val="Heading1"/>
      </w:pPr>
      <w:r>
        <w:t>6. Fee model and transfer behavior</w:t>
      </w:r>
    </w:p>
    <w:p>
      <w:r>
        <w:t>The implementation supports separate buy, sell, and wallet-to-wallet transfer fee basis points. A buy is detected when the sender is a marked LP pair. A sell is detected when the recipient is a marked LP pair. Any other transfer uses transferBps.</w:t>
      </w:r>
    </w:p>
    <w:p>
      <w:r>
        <w:t>The implementation hard-caps each buy, sell, and transfer fee at MAX_FEE_BPS = 300 bps, meaning 3%. setFees cannot set any of those three fee types above 3%.</w:t>
      </w:r>
    </w:p>
    <w:p>
      <w:r>
        <w:t>The project/source notes and public Uniswap token metadata describe the current public model as 0% buy and 3% sell. The source code initializer visible in the GitHub file sets an initial 2.5% buy and 2.5% sell, but the live contract includes setFees and Etherscan search results show historical Set Fees calls. Therefore, the safest wording is: the implementation supports and caps fees at 3%; public/token metadata says the live user-facing sell fee is 3%; exact current storage should be confirmed with a direct eth_call to fees() before publishing a final legal/tokenomics statement.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vAlign w:val="center"/>
          </w:tcPr>
          <w:p>
            <w:r/>
            <w:r>
              <w:rPr>
                <w:b/>
                <w:sz w:val="18"/>
              </w:rPr>
              <w:t>Fee concept</w:t>
            </w:r>
          </w:p>
        </w:tc>
        <w:tc>
          <w:tcPr>
            <w:tcW w:type="dxa" w:w="4608"/>
            <w:shd w:fill="D9EAF7"/>
            <w:vAlign w:val="center"/>
          </w:tcPr>
          <w:p>
            <w:r/>
            <w:r>
              <w:rPr>
                <w:b/>
                <w:sz w:val="18"/>
              </w:rPr>
              <w:t>Implementation behavior</w:t>
            </w:r>
          </w:p>
        </w:tc>
        <w:tc>
          <w:tcPr>
            <w:tcW w:type="dxa" w:w="3312"/>
            <w:shd w:fill="D9EAF7"/>
            <w:vAlign w:val="center"/>
          </w:tcPr>
          <w:p>
            <w:r/>
            <w:r>
              <w:rPr>
                <w:b/>
                <w:sz w:val="18"/>
              </w:rPr>
              <w:t>User impact</w:t>
            </w:r>
          </w:p>
        </w:tc>
      </w:tr>
      <w:tr>
        <w:tc>
          <w:tcPr>
            <w:tcW w:type="dxa" w:w="2448"/>
            <w:vAlign w:val="top"/>
          </w:tcPr>
          <w:p>
            <w:r/>
            <w:r>
              <w:rPr>
                <w:b w:val="0"/>
                <w:sz w:val="18"/>
              </w:rPr>
              <w:t>buyBps</w:t>
            </w:r>
          </w:p>
        </w:tc>
        <w:tc>
          <w:tcPr>
            <w:tcW w:type="dxa" w:w="4608"/>
            <w:vAlign w:val="top"/>
          </w:tcPr>
          <w:p>
            <w:r/>
            <w:r>
              <w:rPr>
                <w:b w:val="0"/>
                <w:sz w:val="18"/>
              </w:rPr>
              <w:t>Applied when from is an LP pair. Capped at 300 bps.</w:t>
            </w:r>
          </w:p>
        </w:tc>
        <w:tc>
          <w:tcPr>
            <w:tcW w:type="dxa" w:w="3312"/>
            <w:vAlign w:val="top"/>
          </w:tcPr>
          <w:p>
            <w:r/>
            <w:r>
              <w:rPr>
                <w:b w:val="0"/>
                <w:sz w:val="18"/>
              </w:rPr>
              <w:t>Can tax buys unless set to 0 or sender/recipient is fee-exempt.</w:t>
            </w:r>
          </w:p>
        </w:tc>
      </w:tr>
      <w:tr>
        <w:tc>
          <w:tcPr>
            <w:tcW w:type="dxa" w:w="2448"/>
            <w:vAlign w:val="top"/>
          </w:tcPr>
          <w:p>
            <w:r/>
            <w:r>
              <w:rPr>
                <w:b w:val="0"/>
                <w:sz w:val="18"/>
              </w:rPr>
              <w:t>sellBps</w:t>
            </w:r>
          </w:p>
        </w:tc>
        <w:tc>
          <w:tcPr>
            <w:tcW w:type="dxa" w:w="4608"/>
            <w:vAlign w:val="top"/>
          </w:tcPr>
          <w:p>
            <w:r/>
            <w:r>
              <w:rPr>
                <w:b w:val="0"/>
                <w:sz w:val="18"/>
              </w:rPr>
              <w:t>Applied when to is an LP pair. Capped at 300 bps.</w:t>
            </w:r>
          </w:p>
        </w:tc>
        <w:tc>
          <w:tcPr>
            <w:tcW w:type="dxa" w:w="3312"/>
            <w:vAlign w:val="top"/>
          </w:tcPr>
          <w:p>
            <w:r/>
            <w:r>
              <w:rPr>
                <w:b w:val="0"/>
                <w:sz w:val="18"/>
              </w:rPr>
              <w:t>Public metadata says NOX charges 3% when sold.</w:t>
            </w:r>
          </w:p>
        </w:tc>
      </w:tr>
      <w:tr>
        <w:tc>
          <w:tcPr>
            <w:tcW w:type="dxa" w:w="2448"/>
            <w:vAlign w:val="top"/>
          </w:tcPr>
          <w:p>
            <w:r/>
            <w:r>
              <w:rPr>
                <w:b w:val="0"/>
                <w:sz w:val="18"/>
              </w:rPr>
              <w:t>transferBps</w:t>
            </w:r>
          </w:p>
        </w:tc>
        <w:tc>
          <w:tcPr>
            <w:tcW w:type="dxa" w:w="4608"/>
            <w:vAlign w:val="top"/>
          </w:tcPr>
          <w:p>
            <w:r/>
            <w:r>
              <w:rPr>
                <w:b w:val="0"/>
                <w:sz w:val="18"/>
              </w:rPr>
              <w:t>Applied to non-buy and non-sell transfers. Capped at 300 bps.</w:t>
            </w:r>
          </w:p>
        </w:tc>
        <w:tc>
          <w:tcPr>
            <w:tcW w:type="dxa" w:w="3312"/>
            <w:vAlign w:val="top"/>
          </w:tcPr>
          <w:p>
            <w:r/>
            <w:r>
              <w:rPr>
                <w:b w:val="0"/>
                <w:sz w:val="18"/>
              </w:rPr>
              <w:t>Can be zero for normal wallet transfers.</w:t>
            </w:r>
          </w:p>
        </w:tc>
      </w:tr>
      <w:tr>
        <w:tc>
          <w:tcPr>
            <w:tcW w:type="dxa" w:w="2448"/>
            <w:vAlign w:val="top"/>
          </w:tcPr>
          <w:p>
            <w:r/>
            <w:r>
              <w:rPr>
                <w:b w:val="0"/>
                <w:sz w:val="18"/>
              </w:rPr>
              <w:t>burnShareBps</w:t>
            </w:r>
          </w:p>
        </w:tc>
        <w:tc>
          <w:tcPr>
            <w:tcW w:type="dxa" w:w="4608"/>
            <w:vAlign w:val="top"/>
          </w:tcPr>
          <w:p>
            <w:r/>
            <w:r>
              <w:rPr>
                <w:b w:val="0"/>
                <w:sz w:val="18"/>
              </w:rPr>
              <w:t>Share of fee burned from sender.</w:t>
            </w:r>
          </w:p>
        </w:tc>
        <w:tc>
          <w:tcPr>
            <w:tcW w:type="dxa" w:w="3312"/>
            <w:vAlign w:val="top"/>
          </w:tcPr>
          <w:p>
            <w:r/>
            <w:r>
              <w:rPr>
                <w:b w:val="0"/>
                <w:sz w:val="18"/>
              </w:rPr>
              <w:t>Source header says 10% of fee is burned under current model.</w:t>
            </w:r>
          </w:p>
        </w:tc>
      </w:tr>
      <w:tr>
        <w:tc>
          <w:tcPr>
            <w:tcW w:type="dxa" w:w="2448"/>
            <w:vAlign w:val="top"/>
          </w:tcPr>
          <w:p>
            <w:r/>
            <w:r>
              <w:rPr>
                <w:b w:val="0"/>
                <w:sz w:val="18"/>
              </w:rPr>
              <w:t>liquidity remainder</w:t>
            </w:r>
          </w:p>
        </w:tc>
        <w:tc>
          <w:tcPr>
            <w:tcW w:type="dxa" w:w="4608"/>
            <w:vAlign w:val="top"/>
          </w:tcPr>
          <w:p>
            <w:r/>
            <w:r>
              <w:rPr>
                <w:b w:val="0"/>
                <w:sz w:val="18"/>
              </w:rPr>
              <w:t>In _takeFeesAndDeflation, fee minus burn is sent to the token contract.</w:t>
            </w:r>
          </w:p>
        </w:tc>
        <w:tc>
          <w:tcPr>
            <w:tcW w:type="dxa" w:w="3312"/>
            <w:vAlign w:val="top"/>
          </w:tcPr>
          <w:p>
            <w:r/>
            <w:r>
              <w:rPr>
                <w:b w:val="0"/>
                <w:sz w:val="18"/>
              </w:rPr>
              <w:t>Those tokens can later be used by auto-liquidity.</w:t>
            </w:r>
          </w:p>
        </w:tc>
      </w:tr>
      <w:tr>
        <w:tc>
          <w:tcPr>
            <w:tcW w:type="dxa" w:w="2448"/>
            <w:vAlign w:val="top"/>
          </w:tcPr>
          <w:p>
            <w:r/>
            <w:r>
              <w:rPr>
                <w:b w:val="0"/>
                <w:sz w:val="18"/>
              </w:rPr>
              <w:t>treasury/dev share fields</w:t>
            </w:r>
          </w:p>
        </w:tc>
        <w:tc>
          <w:tcPr>
            <w:tcW w:type="dxa" w:w="4608"/>
            <w:vAlign w:val="top"/>
          </w:tcPr>
          <w:p>
            <w:r/>
            <w:r>
              <w:rPr>
                <w:b w:val="0"/>
                <w:sz w:val="18"/>
              </w:rPr>
              <w:t>Fields exist and setFees validates share sum.</w:t>
            </w:r>
          </w:p>
        </w:tc>
        <w:tc>
          <w:tcPr>
            <w:tcW w:type="dxa" w:w="3312"/>
            <w:vAlign w:val="top"/>
          </w:tcPr>
          <w:p>
            <w:r/>
            <w:r>
              <w:rPr>
                <w:b w:val="0"/>
                <w:sz w:val="18"/>
              </w:rPr>
              <w:t>Reviewed fee-taking code does not directly distribute treasury/dev shares; it burns burnShare and routes the rest to the contract.</w:t>
            </w:r>
          </w:p>
        </w:tc>
      </w:tr>
    </w:tbl>
    <w:p/>
    <w:p>
      <w:pPr>
        <w:pStyle w:val="Heading1"/>
      </w:pPr>
      <w:r>
        <w:t>7. Auto-liquidity</w:t>
      </w:r>
    </w:p>
    <w:p>
      <w:r>
        <w:t>When v2Initialized and autoSwapEnabled are true, a sell can trigger _swapAndLiquify if the contract token balance is at or above autoSwapThreshold. The contract takes the token balance, caps it by maxAutoSwapChunk if configured, splits it in half, swaps half to ETH, and pairs the resulting ETH with the other half of NOX as Uniswap V2 liquidity.</w:t>
      </w:r>
    </w:p>
    <w:p>
      <w:r>
        <w:t>The addLiquidityETH call sends LP tokens to DEAD, which means generated LP tokens are effectively locked/burned to the dead address. If swap or liquidity add fails, the contract emits AutoSwapFailed rather than reverting the whole transfer path in the catch blocks shown.</w:t>
      </w:r>
    </w:p>
    <w:tbl>
      <w:tblPr>
        <w:tblStyle w:val="TableGrid"/>
        <w:tblW w:type="auto" w:w="0"/>
        <w:jc w:val="center"/>
        <w:tblLook w:firstColumn="1" w:firstRow="1" w:lastColumn="0" w:lastRow="0" w:noHBand="0" w:noVBand="1" w:val="04A0"/>
      </w:tblPr>
      <w:tblGrid>
        <w:gridCol w:w="5184"/>
        <w:gridCol w:w="5184"/>
      </w:tblGrid>
      <w:tr>
        <w:tc>
          <w:tcPr>
            <w:tcW w:type="dxa" w:w="3312"/>
            <w:shd w:fill="D9EAF7"/>
            <w:vAlign w:val="center"/>
          </w:tcPr>
          <w:p>
            <w:r/>
            <w:r>
              <w:rPr>
                <w:b/>
                <w:sz w:val="18"/>
              </w:rPr>
              <w:t>Parameter/function</w:t>
            </w:r>
          </w:p>
        </w:tc>
        <w:tc>
          <w:tcPr>
            <w:tcW w:type="dxa" w:w="6768"/>
            <w:shd w:fill="D9EAF7"/>
            <w:vAlign w:val="center"/>
          </w:tcPr>
          <w:p>
            <w:r/>
            <w:r>
              <w:rPr>
                <w:b/>
                <w:sz w:val="18"/>
              </w:rPr>
              <w:t>Meaning</w:t>
            </w:r>
          </w:p>
        </w:tc>
      </w:tr>
      <w:tr>
        <w:tc>
          <w:tcPr>
            <w:tcW w:type="dxa" w:w="3312"/>
            <w:vAlign w:val="top"/>
          </w:tcPr>
          <w:p>
            <w:r/>
            <w:r>
              <w:rPr>
                <w:b w:val="0"/>
                <w:sz w:val="18"/>
              </w:rPr>
              <w:t>initializeV2(router, threshold, slippageBps)</w:t>
            </w:r>
          </w:p>
        </w:tc>
        <w:tc>
          <w:tcPr>
            <w:tcW w:type="dxa" w:w="6768"/>
            <w:vAlign w:val="top"/>
          </w:tcPr>
          <w:p>
            <w:r/>
            <w:r>
              <w:rPr>
                <w:b w:val="0"/>
                <w:sz w:val="18"/>
              </w:rPr>
              <w:t>Sets router, finds the NOX/WETH pair, marks it as LP, sets threshold/slippage, enables auto-swap.</w:t>
            </w:r>
          </w:p>
        </w:tc>
      </w:tr>
      <w:tr>
        <w:tc>
          <w:tcPr>
            <w:tcW w:type="dxa" w:w="3312"/>
            <w:vAlign w:val="top"/>
          </w:tcPr>
          <w:p>
            <w:r/>
            <w:r>
              <w:rPr>
                <w:b w:val="0"/>
                <w:sz w:val="18"/>
              </w:rPr>
              <w:t>setAutoSwapConfig(threshold, slippageBps, enabled)</w:t>
            </w:r>
          </w:p>
        </w:tc>
        <w:tc>
          <w:tcPr>
            <w:tcW w:type="dxa" w:w="6768"/>
            <w:vAlign w:val="top"/>
          </w:tcPr>
          <w:p>
            <w:r/>
            <w:r>
              <w:rPr>
                <w:b w:val="0"/>
                <w:sz w:val="18"/>
              </w:rPr>
              <w:t>Governor changes threshold, max slippage, and enabled flag. Slippage is capped at 300 bps.</w:t>
            </w:r>
          </w:p>
        </w:tc>
      </w:tr>
      <w:tr>
        <w:tc>
          <w:tcPr>
            <w:tcW w:type="dxa" w:w="3312"/>
            <w:vAlign w:val="top"/>
          </w:tcPr>
          <w:p>
            <w:r/>
            <w:r>
              <w:rPr>
                <w:b w:val="0"/>
                <w:sz w:val="18"/>
              </w:rPr>
              <w:t>setMaxAutoSwapChunk(max)</w:t>
            </w:r>
          </w:p>
        </w:tc>
        <w:tc>
          <w:tcPr>
            <w:tcW w:type="dxa" w:w="6768"/>
            <w:vAlign w:val="top"/>
          </w:tcPr>
          <w:p>
            <w:r/>
            <w:r>
              <w:rPr>
                <w:b w:val="0"/>
                <w:sz w:val="18"/>
              </w:rPr>
              <w:t>Governor caps how many fee tokens can be auto-swapped in one execution.</w:t>
            </w:r>
          </w:p>
        </w:tc>
      </w:tr>
      <w:tr>
        <w:tc>
          <w:tcPr>
            <w:tcW w:type="dxa" w:w="3312"/>
            <w:vAlign w:val="top"/>
          </w:tcPr>
          <w:p>
            <w:r/>
            <w:r>
              <w:rPr>
                <w:b w:val="0"/>
                <w:sz w:val="18"/>
              </w:rPr>
              <w:t>triggerAutoSwap()</w:t>
            </w:r>
          </w:p>
        </w:tc>
        <w:tc>
          <w:tcPr>
            <w:tcW w:type="dxa" w:w="6768"/>
            <w:vAlign w:val="top"/>
          </w:tcPr>
          <w:p>
            <w:r/>
            <w:r>
              <w:rPr>
                <w:b w:val="0"/>
                <w:sz w:val="18"/>
              </w:rPr>
              <w:t>Governor-only manual trigger using the contract token balance.</w:t>
            </w:r>
          </w:p>
        </w:tc>
      </w:tr>
      <w:tr>
        <w:tc>
          <w:tcPr>
            <w:tcW w:type="dxa" w:w="3312"/>
            <w:vAlign w:val="top"/>
          </w:tcPr>
          <w:p>
            <w:r/>
            <w:r>
              <w:rPr>
                <w:b w:val="0"/>
                <w:sz w:val="18"/>
              </w:rPr>
              <w:t>_quoteAmountOutMin(tokenAmount)</w:t>
            </w:r>
          </w:p>
        </w:tc>
        <w:tc>
          <w:tcPr>
            <w:tcW w:type="dxa" w:w="6768"/>
            <w:vAlign w:val="top"/>
          </w:tcPr>
          <w:p>
            <w:r/>
            <w:r>
              <w:rPr>
                <w:b w:val="0"/>
                <w:sz w:val="18"/>
              </w:rPr>
              <w:t>Uses pair reserves and Uniswap V2 0.3% fee formula to estimate min ETH out after configured slippage.</w:t>
            </w:r>
          </w:p>
        </w:tc>
      </w:tr>
    </w:tbl>
    <w:p/>
    <w:p>
      <w:pPr>
        <w:pStyle w:val="Heading1"/>
      </w:pPr>
      <w:r>
        <w:t>8. Blacklist, exemptions, limits, and guards</w:t>
      </w:r>
    </w:p>
    <w:p>
      <w:r>
        <w:t>The reviewed implementation has a blacklist mapping. Transfers require both from and to not blacklisted. The governor can set blacklist entries unless blacklistRenounced is true. The governor can also permanently renounce future blacklist changes through renounceBlacklist().</w:t>
      </w:r>
    </w:p>
    <w:p>
      <w:r>
        <w:t>The code includes feeExempt and limitsExempt mappings. feeExempt is actively used to skip fees if either sender or recipient is fee-exempt. limitsExempt exists and LP pairs/known wallets can be marked exempt, but the reviewed _update logic does not enforce tx limit, wallet limit, same-block guard, sell cooldown, emergencyStop, or priceImpactController. Those variables/events exist but are not active enforcement in the visible current implementation logic.</w:t>
      </w:r>
    </w:p>
    <w:tbl>
      <w:tblPr>
        <w:tblStyle w:val="TableGrid"/>
        <w:tblW w:type="auto" w:w="0"/>
        <w:jc w:val="center"/>
        <w:tblLook w:firstColumn="1" w:firstRow="1" w:lastColumn="0" w:lastRow="0" w:noHBand="0" w:noVBand="1" w:val="04A0"/>
      </w:tblPr>
      <w:tblGrid>
        <w:gridCol w:w="5184"/>
        <w:gridCol w:w="5184"/>
      </w:tblGrid>
      <w:tr>
        <w:tc>
          <w:tcPr>
            <w:tcW w:type="dxa" w:w="3600"/>
            <w:shd w:fill="D9EAF7"/>
            <w:vAlign w:val="center"/>
          </w:tcPr>
          <w:p>
            <w:r/>
            <w:r>
              <w:rPr>
                <w:b/>
                <w:sz w:val="18"/>
              </w:rPr>
              <w:t>Surface</w:t>
            </w:r>
          </w:p>
        </w:tc>
        <w:tc>
          <w:tcPr>
            <w:tcW w:type="dxa" w:w="6480"/>
            <w:shd w:fill="D9EAF7"/>
            <w:vAlign w:val="center"/>
          </w:tcPr>
          <w:p>
            <w:r/>
            <w:r>
              <w:rPr>
                <w:b/>
                <w:sz w:val="18"/>
              </w:rPr>
              <w:t>Live/source behavior</w:t>
            </w:r>
          </w:p>
        </w:tc>
      </w:tr>
      <w:tr>
        <w:tc>
          <w:tcPr>
            <w:tcW w:type="dxa" w:w="3600"/>
            <w:vAlign w:val="top"/>
          </w:tcPr>
          <w:p>
            <w:r/>
            <w:r>
              <w:rPr>
                <w:b w:val="0"/>
                <w:sz w:val="18"/>
              </w:rPr>
              <w:t>blacklisted[address]</w:t>
            </w:r>
          </w:p>
        </w:tc>
        <w:tc>
          <w:tcPr>
            <w:tcW w:type="dxa" w:w="6480"/>
            <w:vAlign w:val="top"/>
          </w:tcPr>
          <w:p>
            <w:r/>
            <w:r>
              <w:rPr>
                <w:b w:val="0"/>
                <w:sz w:val="18"/>
              </w:rPr>
              <w:t>Active in _update: sender and recipient must not be blacklisted.</w:t>
            </w:r>
          </w:p>
        </w:tc>
      </w:tr>
      <w:tr>
        <w:tc>
          <w:tcPr>
            <w:tcW w:type="dxa" w:w="3600"/>
            <w:vAlign w:val="top"/>
          </w:tcPr>
          <w:p>
            <w:r/>
            <w:r>
              <w:rPr>
                <w:b w:val="0"/>
                <w:sz w:val="18"/>
              </w:rPr>
              <w:t>setBlacklist(account, bool)</w:t>
            </w:r>
          </w:p>
        </w:tc>
        <w:tc>
          <w:tcPr>
            <w:tcW w:type="dxa" w:w="6480"/>
            <w:vAlign w:val="top"/>
          </w:tcPr>
          <w:p>
            <w:r/>
            <w:r>
              <w:rPr>
                <w:b w:val="0"/>
                <w:sz w:val="18"/>
              </w:rPr>
              <w:t>Governor-only, blocked forever after blacklistRenounced.</w:t>
            </w:r>
          </w:p>
        </w:tc>
      </w:tr>
      <w:tr>
        <w:tc>
          <w:tcPr>
            <w:tcW w:type="dxa" w:w="3600"/>
            <w:vAlign w:val="top"/>
          </w:tcPr>
          <w:p>
            <w:r/>
            <w:r>
              <w:rPr>
                <w:b w:val="0"/>
                <w:sz w:val="18"/>
              </w:rPr>
              <w:t>renounceBlacklist()</w:t>
            </w:r>
          </w:p>
        </w:tc>
        <w:tc>
          <w:tcPr>
            <w:tcW w:type="dxa" w:w="6480"/>
            <w:vAlign w:val="top"/>
          </w:tcPr>
          <w:p>
            <w:r/>
            <w:r>
              <w:rPr>
                <w:b w:val="0"/>
                <w:sz w:val="18"/>
              </w:rPr>
              <w:t>Governor-only one-way switch.</w:t>
            </w:r>
          </w:p>
        </w:tc>
      </w:tr>
      <w:tr>
        <w:tc>
          <w:tcPr>
            <w:tcW w:type="dxa" w:w="3600"/>
            <w:vAlign w:val="top"/>
          </w:tcPr>
          <w:p>
            <w:r/>
            <w:r>
              <w:rPr>
                <w:b w:val="0"/>
                <w:sz w:val="18"/>
              </w:rPr>
              <w:t>feeExempt[address]</w:t>
            </w:r>
          </w:p>
        </w:tc>
        <w:tc>
          <w:tcPr>
            <w:tcW w:type="dxa" w:w="6480"/>
            <w:vAlign w:val="top"/>
          </w:tcPr>
          <w:p>
            <w:r/>
            <w:r>
              <w:rPr>
                <w:b w:val="0"/>
                <w:sz w:val="18"/>
              </w:rPr>
              <w:t>Active fee bypass if sender or recipient is exempt.</w:t>
            </w:r>
          </w:p>
        </w:tc>
      </w:tr>
      <w:tr>
        <w:tc>
          <w:tcPr>
            <w:tcW w:type="dxa" w:w="3600"/>
            <w:vAlign w:val="top"/>
          </w:tcPr>
          <w:p>
            <w:r/>
            <w:r>
              <w:rPr>
                <w:b w:val="0"/>
                <w:sz w:val="18"/>
              </w:rPr>
              <w:t>limitsExempt[address]</w:t>
            </w:r>
          </w:p>
        </w:tc>
        <w:tc>
          <w:tcPr>
            <w:tcW w:type="dxa" w:w="6480"/>
            <w:vAlign w:val="top"/>
          </w:tcPr>
          <w:p>
            <w:r/>
            <w:r>
              <w:rPr>
                <w:b w:val="0"/>
                <w:sz w:val="18"/>
              </w:rPr>
              <w:t>Stored and exposed; not visibly enforced in current _update.</w:t>
            </w:r>
          </w:p>
        </w:tc>
      </w:tr>
      <w:tr>
        <w:tc>
          <w:tcPr>
            <w:tcW w:type="dxa" w:w="3600"/>
            <w:vAlign w:val="top"/>
          </w:tcPr>
          <w:p>
            <w:r/>
            <w:r>
              <w:rPr>
                <w:b w:val="0"/>
                <w:sz w:val="18"/>
              </w:rPr>
              <w:t>sameBlockGuardEnabled / txLimitEnabled / walletLimitEnabled / sellCooldown</w:t>
            </w:r>
          </w:p>
        </w:tc>
        <w:tc>
          <w:tcPr>
            <w:tcW w:type="dxa" w:w="6480"/>
            <w:vAlign w:val="top"/>
          </w:tcPr>
          <w:p>
            <w:r/>
            <w:r>
              <w:rPr>
                <w:b w:val="0"/>
                <w:sz w:val="18"/>
              </w:rPr>
              <w:t>Stored and exposed; not visibly enforced in current _update.</w:t>
            </w:r>
          </w:p>
        </w:tc>
      </w:tr>
      <w:tr>
        <w:tc>
          <w:tcPr>
            <w:tcW w:type="dxa" w:w="3600"/>
            <w:vAlign w:val="top"/>
          </w:tcPr>
          <w:p>
            <w:r/>
            <w:r>
              <w:rPr>
                <w:b w:val="0"/>
                <w:sz w:val="18"/>
              </w:rPr>
              <w:t>emergencyStop</w:t>
            </w:r>
          </w:p>
        </w:tc>
        <w:tc>
          <w:tcPr>
            <w:tcW w:type="dxa" w:w="6480"/>
            <w:vAlign w:val="top"/>
          </w:tcPr>
          <w:p>
            <w:r/>
            <w:r>
              <w:rPr>
                <w:b w:val="0"/>
                <w:sz w:val="18"/>
              </w:rPr>
              <w:t>Stored and exposed; not visibly enforced in current _update.</w:t>
            </w:r>
          </w:p>
        </w:tc>
      </w:tr>
    </w:tbl>
    <w:p/>
    <w:p>
      <w:pPr>
        <w:pStyle w:val="Heading1"/>
      </w:pPr>
      <w:r>
        <w:t>9. Privileged roles and admin surface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r/>
            <w:r>
              <w:rPr>
                <w:b/>
                <w:sz w:val="18"/>
              </w:rPr>
              <w:t>Role</w:t>
            </w:r>
          </w:p>
        </w:tc>
        <w:tc>
          <w:tcPr>
            <w:tcW w:type="dxa" w:w="3168"/>
            <w:shd w:fill="D9EAF7"/>
            <w:vAlign w:val="center"/>
          </w:tcPr>
          <w:p>
            <w:r/>
            <w:r>
              <w:rPr>
                <w:b/>
                <w:sz w:val="18"/>
              </w:rPr>
              <w:t>Hash source</w:t>
            </w:r>
          </w:p>
        </w:tc>
        <w:tc>
          <w:tcPr>
            <w:tcW w:type="dxa" w:w="4032"/>
            <w:shd w:fill="D9EAF7"/>
            <w:vAlign w:val="center"/>
          </w:tcPr>
          <w:p>
            <w:r/>
            <w:r>
              <w:rPr>
                <w:b/>
                <w:sz w:val="18"/>
              </w:rPr>
              <w:t>Reviewed powers</w:t>
            </w:r>
          </w:p>
        </w:tc>
      </w:tr>
      <w:tr>
        <w:tc>
          <w:tcPr>
            <w:tcW w:type="dxa" w:w="2880"/>
            <w:vAlign w:val="top"/>
          </w:tcPr>
          <w:p>
            <w:r/>
            <w:r>
              <w:rPr>
                <w:b w:val="0"/>
                <w:sz w:val="18"/>
              </w:rPr>
              <w:t>DEFAULT_ADMIN_ROLE</w:t>
            </w:r>
          </w:p>
        </w:tc>
        <w:tc>
          <w:tcPr>
            <w:tcW w:type="dxa" w:w="3168"/>
            <w:vAlign w:val="top"/>
          </w:tcPr>
          <w:p>
            <w:r/>
            <w:r>
              <w:rPr>
                <w:b w:val="0"/>
                <w:sz w:val="18"/>
              </w:rPr>
              <w:t>OpenZeppelin default admin</w:t>
            </w:r>
          </w:p>
        </w:tc>
        <w:tc>
          <w:tcPr>
            <w:tcW w:type="dxa" w:w="4032"/>
            <w:vAlign w:val="top"/>
          </w:tcPr>
          <w:p>
            <w:r/>
            <w:r>
              <w:rPr>
                <w:b w:val="0"/>
                <w:sz w:val="18"/>
              </w:rPr>
              <w:t>Can grant and revoke roles.</w:t>
            </w:r>
          </w:p>
        </w:tc>
      </w:tr>
      <w:tr>
        <w:tc>
          <w:tcPr>
            <w:tcW w:type="dxa" w:w="2880"/>
            <w:vAlign w:val="top"/>
          </w:tcPr>
          <w:p>
            <w:r/>
            <w:r>
              <w:rPr>
                <w:b w:val="0"/>
                <w:sz w:val="18"/>
              </w:rPr>
              <w:t>GOVERNOR_ROLE</w:t>
            </w:r>
          </w:p>
        </w:tc>
        <w:tc>
          <w:tcPr>
            <w:tcW w:type="dxa" w:w="3168"/>
            <w:vAlign w:val="top"/>
          </w:tcPr>
          <w:p>
            <w:r/>
            <w:r>
              <w:rPr>
                <w:b w:val="0"/>
                <w:sz w:val="18"/>
              </w:rPr>
              <w:t>keccak256("GOVERNOR_ROLE")</w:t>
            </w:r>
          </w:p>
        </w:tc>
        <w:tc>
          <w:tcPr>
            <w:tcW w:type="dxa" w:w="4032"/>
            <w:vAlign w:val="top"/>
          </w:tcPr>
          <w:p>
            <w:r/>
            <w:r>
              <w:rPr>
                <w:b w:val="0"/>
                <w:sz w:val="18"/>
              </w:rPr>
              <w:t>Can set fees, exemptions, LP pairs, recipients, auto-swap config, max auto-swap chunk, blacklist until renounced, blacklist renounce, V2 init, ETH fallback recipient, rescue unreserved ETH, and trigger auto-swap.</w:t>
            </w:r>
          </w:p>
        </w:tc>
      </w:tr>
      <w:tr>
        <w:tc>
          <w:tcPr>
            <w:tcW w:type="dxa" w:w="2880"/>
            <w:vAlign w:val="top"/>
          </w:tcPr>
          <w:p>
            <w:r/>
            <w:r>
              <w:rPr>
                <w:b w:val="0"/>
                <w:sz w:val="18"/>
              </w:rPr>
              <w:t>UPGRADER_ROLE</w:t>
            </w:r>
          </w:p>
        </w:tc>
        <w:tc>
          <w:tcPr>
            <w:tcW w:type="dxa" w:w="3168"/>
            <w:vAlign w:val="top"/>
          </w:tcPr>
          <w:p>
            <w:r/>
            <w:r>
              <w:rPr>
                <w:b w:val="0"/>
                <w:sz w:val="18"/>
              </w:rPr>
              <w:t>keccak256("UPGRADER_ROLE")</w:t>
            </w:r>
          </w:p>
        </w:tc>
        <w:tc>
          <w:tcPr>
            <w:tcW w:type="dxa" w:w="4032"/>
            <w:vAlign w:val="top"/>
          </w:tcPr>
          <w:p>
            <w:r/>
            <w:r>
              <w:rPr>
                <w:b w:val="0"/>
                <w:sz w:val="18"/>
              </w:rPr>
              <w:t>Authorizes UUPS upgrades and reinitV21.</w:t>
            </w:r>
          </w:p>
        </w:tc>
      </w:tr>
      <w:tr>
        <w:tc>
          <w:tcPr>
            <w:tcW w:type="dxa" w:w="2880"/>
            <w:vAlign w:val="top"/>
          </w:tcPr>
          <w:p>
            <w:r/>
            <w:r>
              <w:rPr>
                <w:b w:val="0"/>
                <w:sz w:val="18"/>
              </w:rPr>
              <w:t>EMERGENCY_ROLE</w:t>
            </w:r>
          </w:p>
        </w:tc>
        <w:tc>
          <w:tcPr>
            <w:tcW w:type="dxa" w:w="3168"/>
            <w:vAlign w:val="top"/>
          </w:tcPr>
          <w:p>
            <w:r/>
            <w:r>
              <w:rPr>
                <w:b w:val="0"/>
                <w:sz w:val="18"/>
              </w:rPr>
              <w:t>keccak256("EMERGENCY_ROLE")</w:t>
            </w:r>
          </w:p>
        </w:tc>
        <w:tc>
          <w:tcPr>
            <w:tcW w:type="dxa" w:w="4032"/>
            <w:vAlign w:val="top"/>
          </w:tcPr>
          <w:p>
            <w:r/>
            <w:r>
              <w:rPr>
                <w:b w:val="0"/>
                <w:sz w:val="18"/>
              </w:rPr>
              <w:t>Granted at init, but reviewed visible code does not expose an emergency-only state-changing function.</w:t>
            </w:r>
          </w:p>
        </w:tc>
      </w:tr>
    </w:tbl>
    <w:p/>
    <w:p>
      <w:r>
        <w:t>The biggest trust surface is not a normal transfer function; it is upgrade authority. Current implementation has no public mint after initialization, but an authorized future implementation could change token logic if upgrade authority remains active.</w:t>
      </w:r>
    </w:p>
    <w:p>
      <w:pPr>
        <w:pStyle w:val="Heading1"/>
      </w:pPr>
      <w:r>
        <w:t>10. User-facing functions</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vAlign w:val="center"/>
          </w:tcPr>
          <w:p>
            <w:r/>
            <w:r>
              <w:rPr>
                <w:b/>
                <w:sz w:val="18"/>
              </w:rPr>
              <w:t>Function</w:t>
            </w:r>
          </w:p>
        </w:tc>
        <w:tc>
          <w:tcPr>
            <w:tcW w:type="dxa" w:w="2592"/>
            <w:shd w:fill="D9EAF7"/>
            <w:vAlign w:val="center"/>
          </w:tcPr>
          <w:p>
            <w:r/>
            <w:r>
              <w:rPr>
                <w:b/>
                <w:sz w:val="18"/>
              </w:rPr>
              <w:t>Who can call</w:t>
            </w:r>
          </w:p>
        </w:tc>
        <w:tc>
          <w:tcPr>
            <w:tcW w:type="dxa" w:w="4464"/>
            <w:shd w:fill="D9EAF7"/>
            <w:vAlign w:val="center"/>
          </w:tcPr>
          <w:p>
            <w:r/>
            <w:r>
              <w:rPr>
                <w:b/>
                <w:sz w:val="18"/>
              </w:rPr>
              <w:t>Effect</w:t>
            </w:r>
          </w:p>
        </w:tc>
      </w:tr>
      <w:tr>
        <w:tc>
          <w:tcPr>
            <w:tcW w:type="dxa" w:w="3024"/>
            <w:vAlign w:val="top"/>
          </w:tcPr>
          <w:p>
            <w:r/>
            <w:r>
              <w:rPr>
                <w:b w:val="0"/>
                <w:sz w:val="18"/>
              </w:rPr>
              <w:t>transfer(to, value)</w:t>
            </w:r>
          </w:p>
        </w:tc>
        <w:tc>
          <w:tcPr>
            <w:tcW w:type="dxa" w:w="2592"/>
            <w:vAlign w:val="top"/>
          </w:tcPr>
          <w:p>
            <w:r/>
            <w:r>
              <w:rPr>
                <w:b w:val="0"/>
                <w:sz w:val="18"/>
              </w:rPr>
              <w:t>Any token holder</w:t>
            </w:r>
          </w:p>
        </w:tc>
        <w:tc>
          <w:tcPr>
            <w:tcW w:type="dxa" w:w="4464"/>
            <w:vAlign w:val="top"/>
          </w:tcPr>
          <w:p>
            <w:r/>
            <w:r>
              <w:rPr>
                <w:b w:val="0"/>
                <w:sz w:val="18"/>
              </w:rPr>
              <w:t>Moves NOX; may apply fees/blacklist checks if not exempt.</w:t>
            </w:r>
          </w:p>
        </w:tc>
      </w:tr>
      <w:tr>
        <w:tc>
          <w:tcPr>
            <w:tcW w:type="dxa" w:w="3024"/>
            <w:vAlign w:val="top"/>
          </w:tcPr>
          <w:p>
            <w:r/>
            <w:r>
              <w:rPr>
                <w:b w:val="0"/>
                <w:sz w:val="18"/>
              </w:rPr>
              <w:t>transferFrom(from, to, value)</w:t>
            </w:r>
          </w:p>
        </w:tc>
        <w:tc>
          <w:tcPr>
            <w:tcW w:type="dxa" w:w="2592"/>
            <w:vAlign w:val="top"/>
          </w:tcPr>
          <w:p>
            <w:r/>
            <w:r>
              <w:rPr>
                <w:b w:val="0"/>
                <w:sz w:val="18"/>
              </w:rPr>
              <w:t>Approved spender</w:t>
            </w:r>
          </w:p>
        </w:tc>
        <w:tc>
          <w:tcPr>
            <w:tcW w:type="dxa" w:w="4464"/>
            <w:vAlign w:val="top"/>
          </w:tcPr>
          <w:p>
            <w:r/>
            <w:r>
              <w:rPr>
                <w:b w:val="0"/>
                <w:sz w:val="18"/>
              </w:rPr>
              <w:t>Moves NOX from another wallet; may apply same transfer logic.</w:t>
            </w:r>
          </w:p>
        </w:tc>
      </w:tr>
      <w:tr>
        <w:tc>
          <w:tcPr>
            <w:tcW w:type="dxa" w:w="3024"/>
            <w:vAlign w:val="top"/>
          </w:tcPr>
          <w:p>
            <w:r/>
            <w:r>
              <w:rPr>
                <w:b w:val="0"/>
                <w:sz w:val="18"/>
              </w:rPr>
              <w:t>approve(spender, value)</w:t>
            </w:r>
          </w:p>
        </w:tc>
        <w:tc>
          <w:tcPr>
            <w:tcW w:type="dxa" w:w="2592"/>
            <w:vAlign w:val="top"/>
          </w:tcPr>
          <w:p>
            <w:r/>
            <w:r>
              <w:rPr>
                <w:b w:val="0"/>
                <w:sz w:val="18"/>
              </w:rPr>
              <w:t>Token holder</w:t>
            </w:r>
          </w:p>
        </w:tc>
        <w:tc>
          <w:tcPr>
            <w:tcW w:type="dxa" w:w="4464"/>
            <w:vAlign w:val="top"/>
          </w:tcPr>
          <w:p>
            <w:r/>
            <w:r>
              <w:rPr>
                <w:b w:val="0"/>
                <w:sz w:val="18"/>
              </w:rPr>
              <w:t>Sets allowance.</w:t>
            </w:r>
          </w:p>
        </w:tc>
      </w:tr>
      <w:tr>
        <w:tc>
          <w:tcPr>
            <w:tcW w:type="dxa" w:w="3024"/>
            <w:vAlign w:val="top"/>
          </w:tcPr>
          <w:p>
            <w:r/>
            <w:r>
              <w:rPr>
                <w:b w:val="0"/>
                <w:sz w:val="18"/>
              </w:rPr>
              <w:t>permit(owner, spender, value, deadline, v, r, s)</w:t>
            </w:r>
          </w:p>
        </w:tc>
        <w:tc>
          <w:tcPr>
            <w:tcW w:type="dxa" w:w="2592"/>
            <w:vAlign w:val="top"/>
          </w:tcPr>
          <w:p>
            <w:r/>
            <w:r>
              <w:rPr>
                <w:b w:val="0"/>
                <w:sz w:val="18"/>
              </w:rPr>
              <w:t>Anyone with valid signature</w:t>
            </w:r>
          </w:p>
        </w:tc>
        <w:tc>
          <w:tcPr>
            <w:tcW w:type="dxa" w:w="4464"/>
            <w:vAlign w:val="top"/>
          </w:tcPr>
          <w:p>
            <w:r/>
            <w:r>
              <w:rPr>
                <w:b w:val="0"/>
                <w:sz w:val="18"/>
              </w:rPr>
              <w:t>Sets allowance via EIP-2612 signature.</w:t>
            </w:r>
          </w:p>
        </w:tc>
      </w:tr>
      <w:tr>
        <w:tc>
          <w:tcPr>
            <w:tcW w:type="dxa" w:w="3024"/>
            <w:vAlign w:val="top"/>
          </w:tcPr>
          <w:p>
            <w:r/>
            <w:r>
              <w:rPr>
                <w:b w:val="0"/>
                <w:sz w:val="18"/>
              </w:rPr>
              <w:t>burn(value)</w:t>
            </w:r>
          </w:p>
        </w:tc>
        <w:tc>
          <w:tcPr>
            <w:tcW w:type="dxa" w:w="2592"/>
            <w:vAlign w:val="top"/>
          </w:tcPr>
          <w:p>
            <w:r/>
            <w:r>
              <w:rPr>
                <w:b w:val="0"/>
                <w:sz w:val="18"/>
              </w:rPr>
              <w:t>Token holder</w:t>
            </w:r>
          </w:p>
        </w:tc>
        <w:tc>
          <w:tcPr>
            <w:tcW w:type="dxa" w:w="4464"/>
            <w:vAlign w:val="top"/>
          </w:tcPr>
          <w:p>
            <w:r/>
            <w:r>
              <w:rPr>
                <w:b w:val="0"/>
                <w:sz w:val="18"/>
              </w:rPr>
              <w:t>Burns caller tokens and lowers total supply.</w:t>
            </w:r>
          </w:p>
        </w:tc>
      </w:tr>
      <w:tr>
        <w:tc>
          <w:tcPr>
            <w:tcW w:type="dxa" w:w="3024"/>
            <w:vAlign w:val="top"/>
          </w:tcPr>
          <w:p>
            <w:r/>
            <w:r>
              <w:rPr>
                <w:b w:val="0"/>
                <w:sz w:val="18"/>
              </w:rPr>
              <w:t>burnFrom(account, value)</w:t>
            </w:r>
          </w:p>
        </w:tc>
        <w:tc>
          <w:tcPr>
            <w:tcW w:type="dxa" w:w="2592"/>
            <w:vAlign w:val="top"/>
          </w:tcPr>
          <w:p>
            <w:r/>
            <w:r>
              <w:rPr>
                <w:b w:val="0"/>
                <w:sz w:val="18"/>
              </w:rPr>
              <w:t>Approved spender</w:t>
            </w:r>
          </w:p>
        </w:tc>
        <w:tc>
          <w:tcPr>
            <w:tcW w:type="dxa" w:w="4464"/>
            <w:vAlign w:val="top"/>
          </w:tcPr>
          <w:p>
            <w:r/>
            <w:r>
              <w:rPr>
                <w:b w:val="0"/>
                <w:sz w:val="18"/>
              </w:rPr>
              <w:t>Burns from account allowance and lowers total supply.</w:t>
            </w:r>
          </w:p>
        </w:tc>
      </w:tr>
      <w:tr>
        <w:tc>
          <w:tcPr>
            <w:tcW w:type="dxa" w:w="3024"/>
            <w:vAlign w:val="top"/>
          </w:tcPr>
          <w:p>
            <w:r/>
            <w:r>
              <w:rPr>
                <w:b w:val="0"/>
                <w:sz w:val="18"/>
              </w:rPr>
              <w:t>claimFailedEth()</w:t>
            </w:r>
          </w:p>
        </w:tc>
        <w:tc>
          <w:tcPr>
            <w:tcW w:type="dxa" w:w="2592"/>
            <w:vAlign w:val="top"/>
          </w:tcPr>
          <w:p>
            <w:r/>
            <w:r>
              <w:rPr>
                <w:b w:val="0"/>
                <w:sz w:val="18"/>
              </w:rPr>
              <w:t>Any address owed failed ETH</w:t>
            </w:r>
          </w:p>
        </w:tc>
        <w:tc>
          <w:tcPr>
            <w:tcW w:type="dxa" w:w="4464"/>
            <w:vAlign w:val="top"/>
          </w:tcPr>
          <w:p>
            <w:r/>
            <w:r>
              <w:rPr>
                <w:b w:val="0"/>
                <w:sz w:val="18"/>
              </w:rPr>
              <w:t>Claims ETH previously recorded in failedEth[msg.sender].</w:t>
            </w:r>
          </w:p>
        </w:tc>
      </w:tr>
    </w:tbl>
    <w:p/>
    <w:p>
      <w:pPr>
        <w:pStyle w:val="Heading1"/>
      </w:pPr>
      <w:r>
        <w:t>11. Governor and upgrade functions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Function</w:t>
            </w:r>
          </w:p>
        </w:tc>
        <w:tc>
          <w:tcPr>
            <w:tcW w:type="dxa" w:w="2448"/>
            <w:shd w:fill="D9EAF7"/>
            <w:vAlign w:val="center"/>
          </w:tcPr>
          <w:p>
            <w:r/>
            <w:r>
              <w:rPr>
                <w:b/>
                <w:sz w:val="18"/>
              </w:rPr>
              <w:t>Access</w:t>
            </w:r>
          </w:p>
        </w:tc>
        <w:tc>
          <w:tcPr>
            <w:tcW w:type="dxa" w:w="4320"/>
            <w:shd w:fill="D9EAF7"/>
            <w:vAlign w:val="center"/>
          </w:tcPr>
          <w:p>
            <w:r/>
            <w:r>
              <w:rPr>
                <w:b/>
                <w:sz w:val="18"/>
              </w:rPr>
              <w:t>Purpose</w:t>
            </w:r>
          </w:p>
        </w:tc>
      </w:tr>
      <w:tr>
        <w:tc>
          <w:tcPr>
            <w:tcW w:type="dxa" w:w="3456"/>
            <w:vAlign w:val="top"/>
          </w:tcPr>
          <w:p>
            <w:r/>
            <w:r>
              <w:rPr>
                <w:b w:val="0"/>
                <w:sz w:val="18"/>
              </w:rPr>
              <w:t>setFees(...)</w:t>
            </w:r>
          </w:p>
        </w:tc>
        <w:tc>
          <w:tcPr>
            <w:tcW w:type="dxa" w:w="2448"/>
            <w:vAlign w:val="top"/>
          </w:tcPr>
          <w:p>
            <w:r/>
            <w:r>
              <w:rPr>
                <w:b w:val="0"/>
                <w:sz w:val="18"/>
              </w:rPr>
              <w:t>GOVERNOR_ROLE</w:t>
            </w:r>
          </w:p>
        </w:tc>
        <w:tc>
          <w:tcPr>
            <w:tcW w:type="dxa" w:w="4320"/>
            <w:vAlign w:val="top"/>
          </w:tcPr>
          <w:p>
            <w:r/>
            <w:r>
              <w:rPr>
                <w:b w:val="0"/>
                <w:sz w:val="18"/>
              </w:rPr>
              <w:t>Sets buy/sell/transfer fee bps and fee share fields within caps.</w:t>
            </w:r>
          </w:p>
        </w:tc>
      </w:tr>
      <w:tr>
        <w:tc>
          <w:tcPr>
            <w:tcW w:type="dxa" w:w="3456"/>
            <w:vAlign w:val="top"/>
          </w:tcPr>
          <w:p>
            <w:r/>
            <w:r>
              <w:rPr>
                <w:b w:val="0"/>
                <w:sz w:val="18"/>
              </w:rPr>
              <w:t>setExemptions(account, feeExempt, limitsExempt)</w:t>
            </w:r>
          </w:p>
        </w:tc>
        <w:tc>
          <w:tcPr>
            <w:tcW w:type="dxa" w:w="2448"/>
            <w:vAlign w:val="top"/>
          </w:tcPr>
          <w:p>
            <w:r/>
            <w:r>
              <w:rPr>
                <w:b w:val="0"/>
                <w:sz w:val="18"/>
              </w:rPr>
              <w:t>GOVERNOR_ROLE</w:t>
            </w:r>
          </w:p>
        </w:tc>
        <w:tc>
          <w:tcPr>
            <w:tcW w:type="dxa" w:w="4320"/>
            <w:vAlign w:val="top"/>
          </w:tcPr>
          <w:p>
            <w:r/>
            <w:r>
              <w:rPr>
                <w:b w:val="0"/>
                <w:sz w:val="18"/>
              </w:rPr>
              <w:t>Sets exemption flags.</w:t>
            </w:r>
          </w:p>
        </w:tc>
      </w:tr>
      <w:tr>
        <w:tc>
          <w:tcPr>
            <w:tcW w:type="dxa" w:w="3456"/>
            <w:vAlign w:val="top"/>
          </w:tcPr>
          <w:p>
            <w:r/>
            <w:r>
              <w:rPr>
                <w:b w:val="0"/>
                <w:sz w:val="18"/>
              </w:rPr>
              <w:t>setPair(pair, status)</w:t>
            </w:r>
          </w:p>
        </w:tc>
        <w:tc>
          <w:tcPr>
            <w:tcW w:type="dxa" w:w="2448"/>
            <w:vAlign w:val="top"/>
          </w:tcPr>
          <w:p>
            <w:r/>
            <w:r>
              <w:rPr>
                <w:b w:val="0"/>
                <w:sz w:val="18"/>
              </w:rPr>
              <w:t>GOVERNOR_ROLE</w:t>
            </w:r>
          </w:p>
        </w:tc>
        <w:tc>
          <w:tcPr>
            <w:tcW w:type="dxa" w:w="4320"/>
            <w:vAlign w:val="top"/>
          </w:tcPr>
          <w:p>
            <w:r/>
            <w:r>
              <w:rPr>
                <w:b w:val="0"/>
                <w:sz w:val="18"/>
              </w:rPr>
              <w:t>Adds/removes LP-pair status, except main pair cannot be removed.</w:t>
            </w:r>
          </w:p>
        </w:tc>
      </w:tr>
      <w:tr>
        <w:tc>
          <w:tcPr>
            <w:tcW w:type="dxa" w:w="3456"/>
            <w:vAlign w:val="top"/>
          </w:tcPr>
          <w:p>
            <w:r/>
            <w:r>
              <w:rPr>
                <w:b w:val="0"/>
                <w:sz w:val="18"/>
              </w:rPr>
              <w:t>setRecipients(dev, staking, dao, liq)</w:t>
            </w:r>
          </w:p>
        </w:tc>
        <w:tc>
          <w:tcPr>
            <w:tcW w:type="dxa" w:w="2448"/>
            <w:vAlign w:val="top"/>
          </w:tcPr>
          <w:p>
            <w:r/>
            <w:r>
              <w:rPr>
                <w:b w:val="0"/>
                <w:sz w:val="18"/>
              </w:rPr>
              <w:t>GOVERNOR_ROLE</w:t>
            </w:r>
          </w:p>
        </w:tc>
        <w:tc>
          <w:tcPr>
            <w:tcW w:type="dxa" w:w="4320"/>
            <w:vAlign w:val="top"/>
          </w:tcPr>
          <w:p>
            <w:r/>
            <w:r>
              <w:rPr>
                <w:b w:val="0"/>
                <w:sz w:val="18"/>
              </w:rPr>
              <w:t>Updates primary recipient wallet references and exempts them.</w:t>
            </w:r>
          </w:p>
        </w:tc>
      </w:tr>
      <w:tr>
        <w:tc>
          <w:tcPr>
            <w:tcW w:type="dxa" w:w="3456"/>
            <w:vAlign w:val="top"/>
          </w:tcPr>
          <w:p>
            <w:r/>
            <w:r>
              <w:rPr>
                <w:b w:val="0"/>
                <w:sz w:val="18"/>
              </w:rPr>
              <w:t>setAuxRecipients(cex, contributors, nfts, mkt)</w:t>
            </w:r>
          </w:p>
        </w:tc>
        <w:tc>
          <w:tcPr>
            <w:tcW w:type="dxa" w:w="2448"/>
            <w:vAlign w:val="top"/>
          </w:tcPr>
          <w:p>
            <w:r/>
            <w:r>
              <w:rPr>
                <w:b w:val="0"/>
                <w:sz w:val="18"/>
              </w:rPr>
              <w:t>GOVERNOR_ROLE</w:t>
            </w:r>
          </w:p>
        </w:tc>
        <w:tc>
          <w:tcPr>
            <w:tcW w:type="dxa" w:w="4320"/>
            <w:vAlign w:val="top"/>
          </w:tcPr>
          <w:p>
            <w:r/>
            <w:r>
              <w:rPr>
                <w:b w:val="0"/>
                <w:sz w:val="18"/>
              </w:rPr>
              <w:t>Updates auxiliary wallet references and exempts them.</w:t>
            </w:r>
          </w:p>
        </w:tc>
      </w:tr>
      <w:tr>
        <w:tc>
          <w:tcPr>
            <w:tcW w:type="dxa" w:w="3456"/>
            <w:vAlign w:val="top"/>
          </w:tcPr>
          <w:p>
            <w:r/>
            <w:r>
              <w:rPr>
                <w:b w:val="0"/>
                <w:sz w:val="18"/>
              </w:rPr>
              <w:t>initializeV2(router, threshold, slippage)</w:t>
            </w:r>
          </w:p>
        </w:tc>
        <w:tc>
          <w:tcPr>
            <w:tcW w:type="dxa" w:w="2448"/>
            <w:vAlign w:val="top"/>
          </w:tcPr>
          <w:p>
            <w:r/>
            <w:r>
              <w:rPr>
                <w:b w:val="0"/>
                <w:sz w:val="18"/>
              </w:rPr>
              <w:t>GOVERNOR_ROLE</w:t>
            </w:r>
          </w:p>
        </w:tc>
        <w:tc>
          <w:tcPr>
            <w:tcW w:type="dxa" w:w="4320"/>
            <w:vAlign w:val="top"/>
          </w:tcPr>
          <w:p>
            <w:r/>
            <w:r>
              <w:rPr>
                <w:b w:val="0"/>
                <w:sz w:val="18"/>
              </w:rPr>
              <w:t>One-time router/pair/auto-swap setup.</w:t>
            </w:r>
          </w:p>
        </w:tc>
      </w:tr>
      <w:tr>
        <w:tc>
          <w:tcPr>
            <w:tcW w:type="dxa" w:w="3456"/>
            <w:vAlign w:val="top"/>
          </w:tcPr>
          <w:p>
            <w:r/>
            <w:r>
              <w:rPr>
                <w:b w:val="0"/>
                <w:sz w:val="18"/>
              </w:rPr>
              <w:t>setAutoSwapConfig(threshold, slippage, enabled)</w:t>
            </w:r>
          </w:p>
        </w:tc>
        <w:tc>
          <w:tcPr>
            <w:tcW w:type="dxa" w:w="2448"/>
            <w:vAlign w:val="top"/>
          </w:tcPr>
          <w:p>
            <w:r/>
            <w:r>
              <w:rPr>
                <w:b w:val="0"/>
                <w:sz w:val="18"/>
              </w:rPr>
              <w:t>GOVERNOR_ROLE</w:t>
            </w:r>
          </w:p>
        </w:tc>
        <w:tc>
          <w:tcPr>
            <w:tcW w:type="dxa" w:w="4320"/>
            <w:vAlign w:val="top"/>
          </w:tcPr>
          <w:p>
            <w:r/>
            <w:r>
              <w:rPr>
                <w:b w:val="0"/>
                <w:sz w:val="18"/>
              </w:rPr>
              <w:t>Changes auto-liquidity config.</w:t>
            </w:r>
          </w:p>
        </w:tc>
      </w:tr>
      <w:tr>
        <w:tc>
          <w:tcPr>
            <w:tcW w:type="dxa" w:w="3456"/>
            <w:vAlign w:val="top"/>
          </w:tcPr>
          <w:p>
            <w:r/>
            <w:r>
              <w:rPr>
                <w:b w:val="0"/>
                <w:sz w:val="18"/>
              </w:rPr>
              <w:t>setMaxAutoSwapChunk(max)</w:t>
            </w:r>
          </w:p>
        </w:tc>
        <w:tc>
          <w:tcPr>
            <w:tcW w:type="dxa" w:w="2448"/>
            <w:vAlign w:val="top"/>
          </w:tcPr>
          <w:p>
            <w:r/>
            <w:r>
              <w:rPr>
                <w:b w:val="0"/>
                <w:sz w:val="18"/>
              </w:rPr>
              <w:t>GOVERNOR_ROLE</w:t>
            </w:r>
          </w:p>
        </w:tc>
        <w:tc>
          <w:tcPr>
            <w:tcW w:type="dxa" w:w="4320"/>
            <w:vAlign w:val="top"/>
          </w:tcPr>
          <w:p>
            <w:r/>
            <w:r>
              <w:rPr>
                <w:b w:val="0"/>
                <w:sz w:val="18"/>
              </w:rPr>
              <w:t>Sets max token chunk used in one auto-swap.</w:t>
            </w:r>
          </w:p>
        </w:tc>
      </w:tr>
      <w:tr>
        <w:tc>
          <w:tcPr>
            <w:tcW w:type="dxa" w:w="3456"/>
            <w:vAlign w:val="top"/>
          </w:tcPr>
          <w:p>
            <w:r/>
            <w:r>
              <w:rPr>
                <w:b w:val="0"/>
                <w:sz w:val="18"/>
              </w:rPr>
              <w:t>triggerAutoSwap()</w:t>
            </w:r>
          </w:p>
        </w:tc>
        <w:tc>
          <w:tcPr>
            <w:tcW w:type="dxa" w:w="2448"/>
            <w:vAlign w:val="top"/>
          </w:tcPr>
          <w:p>
            <w:r/>
            <w:r>
              <w:rPr>
                <w:b w:val="0"/>
                <w:sz w:val="18"/>
              </w:rPr>
              <w:t>GOVERNOR_ROLE</w:t>
            </w:r>
          </w:p>
        </w:tc>
        <w:tc>
          <w:tcPr>
            <w:tcW w:type="dxa" w:w="4320"/>
            <w:vAlign w:val="top"/>
          </w:tcPr>
          <w:p>
            <w:r/>
            <w:r>
              <w:rPr>
                <w:b w:val="0"/>
                <w:sz w:val="18"/>
              </w:rPr>
              <w:t>Manual auto-liquidity execution.</w:t>
            </w:r>
          </w:p>
        </w:tc>
      </w:tr>
      <w:tr>
        <w:tc>
          <w:tcPr>
            <w:tcW w:type="dxa" w:w="3456"/>
            <w:vAlign w:val="top"/>
          </w:tcPr>
          <w:p>
            <w:r/>
            <w:r>
              <w:rPr>
                <w:b w:val="0"/>
                <w:sz w:val="18"/>
              </w:rPr>
              <w:t>setBlacklist(account, bool)</w:t>
            </w:r>
          </w:p>
        </w:tc>
        <w:tc>
          <w:tcPr>
            <w:tcW w:type="dxa" w:w="2448"/>
            <w:vAlign w:val="top"/>
          </w:tcPr>
          <w:p>
            <w:r/>
            <w:r>
              <w:rPr>
                <w:b w:val="0"/>
                <w:sz w:val="18"/>
              </w:rPr>
              <w:t>GOVERNOR_ROLE</w:t>
            </w:r>
          </w:p>
        </w:tc>
        <w:tc>
          <w:tcPr>
            <w:tcW w:type="dxa" w:w="4320"/>
            <w:vAlign w:val="top"/>
          </w:tcPr>
          <w:p>
            <w:r/>
            <w:r>
              <w:rPr>
                <w:b w:val="0"/>
                <w:sz w:val="18"/>
              </w:rPr>
              <w:t>Blacklist/unblacklist until blacklist is renounced.</w:t>
            </w:r>
          </w:p>
        </w:tc>
      </w:tr>
      <w:tr>
        <w:tc>
          <w:tcPr>
            <w:tcW w:type="dxa" w:w="3456"/>
            <w:vAlign w:val="top"/>
          </w:tcPr>
          <w:p>
            <w:r/>
            <w:r>
              <w:rPr>
                <w:b w:val="0"/>
                <w:sz w:val="18"/>
              </w:rPr>
              <w:t>renounceBlacklist()</w:t>
            </w:r>
          </w:p>
        </w:tc>
        <w:tc>
          <w:tcPr>
            <w:tcW w:type="dxa" w:w="2448"/>
            <w:vAlign w:val="top"/>
          </w:tcPr>
          <w:p>
            <w:r/>
            <w:r>
              <w:rPr>
                <w:b w:val="0"/>
                <w:sz w:val="18"/>
              </w:rPr>
              <w:t>GOVERNOR_ROLE</w:t>
            </w:r>
          </w:p>
        </w:tc>
        <w:tc>
          <w:tcPr>
            <w:tcW w:type="dxa" w:w="4320"/>
            <w:vAlign w:val="top"/>
          </w:tcPr>
          <w:p>
            <w:r/>
            <w:r>
              <w:rPr>
                <w:b w:val="0"/>
                <w:sz w:val="18"/>
              </w:rPr>
              <w:t>Permanently disables future blacklist changes.</w:t>
            </w:r>
          </w:p>
        </w:tc>
      </w:tr>
      <w:tr>
        <w:tc>
          <w:tcPr>
            <w:tcW w:type="dxa" w:w="3456"/>
            <w:vAlign w:val="top"/>
          </w:tcPr>
          <w:p>
            <w:r/>
            <w:r>
              <w:rPr>
                <w:b w:val="0"/>
                <w:sz w:val="18"/>
              </w:rPr>
              <w:t>setEthFallbackRecipient(fb)</w:t>
            </w:r>
          </w:p>
        </w:tc>
        <w:tc>
          <w:tcPr>
            <w:tcW w:type="dxa" w:w="2448"/>
            <w:vAlign w:val="top"/>
          </w:tcPr>
          <w:p>
            <w:r/>
            <w:r>
              <w:rPr>
                <w:b w:val="0"/>
                <w:sz w:val="18"/>
              </w:rPr>
              <w:t>GOVERNOR_ROLE</w:t>
            </w:r>
          </w:p>
        </w:tc>
        <w:tc>
          <w:tcPr>
            <w:tcW w:type="dxa" w:w="4320"/>
            <w:vAlign w:val="top"/>
          </w:tcPr>
          <w:p>
            <w:r/>
            <w:r>
              <w:rPr>
                <w:b w:val="0"/>
                <w:sz w:val="18"/>
              </w:rPr>
              <w:t>Sets fallback ETH recipient.</w:t>
            </w:r>
          </w:p>
        </w:tc>
      </w:tr>
      <w:tr>
        <w:tc>
          <w:tcPr>
            <w:tcW w:type="dxa" w:w="3456"/>
            <w:vAlign w:val="top"/>
          </w:tcPr>
          <w:p>
            <w:r/>
            <w:r>
              <w:rPr>
                <w:b w:val="0"/>
                <w:sz w:val="18"/>
              </w:rPr>
              <w:t>rescueETH(to, amount)</w:t>
            </w:r>
          </w:p>
        </w:tc>
        <w:tc>
          <w:tcPr>
            <w:tcW w:type="dxa" w:w="2448"/>
            <w:vAlign w:val="top"/>
          </w:tcPr>
          <w:p>
            <w:r/>
            <w:r>
              <w:rPr>
                <w:b w:val="0"/>
                <w:sz w:val="18"/>
              </w:rPr>
              <w:t>GOVERNOR_ROLE</w:t>
            </w:r>
          </w:p>
        </w:tc>
        <w:tc>
          <w:tcPr>
            <w:tcW w:type="dxa" w:w="4320"/>
            <w:vAlign w:val="top"/>
          </w:tcPr>
          <w:p>
            <w:r/>
            <w:r>
              <w:rPr>
                <w:b w:val="0"/>
                <w:sz w:val="18"/>
              </w:rPr>
              <w:t>Rescues ETH not reserved for failedEth claims.</w:t>
            </w:r>
          </w:p>
        </w:tc>
      </w:tr>
      <w:tr>
        <w:tc>
          <w:tcPr>
            <w:tcW w:type="dxa" w:w="3456"/>
            <w:vAlign w:val="top"/>
          </w:tcPr>
          <w:p>
            <w:r/>
            <w:r>
              <w:rPr>
                <w:b w:val="0"/>
                <w:sz w:val="18"/>
              </w:rPr>
              <w:t>reinitV21(maxChunk, fallbackRecipient)</w:t>
            </w:r>
          </w:p>
        </w:tc>
        <w:tc>
          <w:tcPr>
            <w:tcW w:type="dxa" w:w="2448"/>
            <w:vAlign w:val="top"/>
          </w:tcPr>
          <w:p>
            <w:r/>
            <w:r>
              <w:rPr>
                <w:b w:val="0"/>
                <w:sz w:val="18"/>
              </w:rPr>
              <w:t>UPGRADER_ROLE</w:t>
            </w:r>
          </w:p>
        </w:tc>
        <w:tc>
          <w:tcPr>
            <w:tcW w:type="dxa" w:w="4320"/>
            <w:vAlign w:val="top"/>
          </w:tcPr>
          <w:p>
            <w:r/>
            <w:r>
              <w:rPr>
                <w:b w:val="0"/>
                <w:sz w:val="18"/>
              </w:rPr>
              <w:t>Reinitializer for V2.1 storage/config.</w:t>
            </w:r>
          </w:p>
        </w:tc>
      </w:tr>
      <w:tr>
        <w:tc>
          <w:tcPr>
            <w:tcW w:type="dxa" w:w="3456"/>
            <w:vAlign w:val="top"/>
          </w:tcPr>
          <w:p>
            <w:r/>
            <w:r>
              <w:rPr>
                <w:b w:val="0"/>
                <w:sz w:val="18"/>
              </w:rPr>
              <w:t>upgradeToAndCall(newImplementation, data)</w:t>
            </w:r>
          </w:p>
        </w:tc>
        <w:tc>
          <w:tcPr>
            <w:tcW w:type="dxa" w:w="2448"/>
            <w:vAlign w:val="top"/>
          </w:tcPr>
          <w:p>
            <w:r/>
            <w:r>
              <w:rPr>
                <w:b w:val="0"/>
                <w:sz w:val="18"/>
              </w:rPr>
              <w:t>UPGRADER_ROLE via _authorizeUpgrade</w:t>
            </w:r>
          </w:p>
        </w:tc>
        <w:tc>
          <w:tcPr>
            <w:tcW w:type="dxa" w:w="4320"/>
            <w:vAlign w:val="top"/>
          </w:tcPr>
          <w:p>
            <w:r/>
            <w:r>
              <w:rPr>
                <w:b w:val="0"/>
                <w:sz w:val="18"/>
              </w:rPr>
              <w:t>Upgrades implementation and optionally calls data.</w:t>
            </w:r>
          </w:p>
        </w:tc>
      </w:tr>
    </w:tbl>
    <w:p/>
    <w:p>
      <w:pPr>
        <w:pStyle w:val="Heading1"/>
      </w:pPr>
      <w:r>
        <w:t>12. Read-only functions and views</w:t>
      </w:r>
    </w:p>
    <w:tbl>
      <w:tblPr>
        <w:tblStyle w:val="TableGrid"/>
        <w:tblW w:type="auto" w:w="0"/>
        <w:jc w:val="center"/>
        <w:tblLook w:firstColumn="1" w:firstRow="1" w:lastColumn="0" w:lastRow="0" w:noHBand="0" w:noVBand="1" w:val="04A0"/>
      </w:tblPr>
      <w:tblGrid>
        <w:gridCol w:w="5184"/>
        <w:gridCol w:w="5184"/>
      </w:tblGrid>
      <w:tr>
        <w:tc>
          <w:tcPr>
            <w:tcW w:type="dxa" w:w="3024"/>
            <w:shd w:fill="D9EAF7"/>
            <w:vAlign w:val="center"/>
          </w:tcPr>
          <w:p>
            <w:r/>
            <w:r>
              <w:rPr>
                <w:b/>
                <w:sz w:val="18"/>
              </w:rPr>
              <w:t>Category</w:t>
            </w:r>
          </w:p>
        </w:tc>
        <w:tc>
          <w:tcPr>
            <w:tcW w:type="dxa" w:w="7200"/>
            <w:shd w:fill="D9EAF7"/>
            <w:vAlign w:val="center"/>
          </w:tcPr>
          <w:p>
            <w:r/>
            <w:r>
              <w:rPr>
                <w:b/>
                <w:sz w:val="18"/>
              </w:rPr>
              <w:t>Functions</w:t>
            </w:r>
          </w:p>
        </w:tc>
      </w:tr>
      <w:tr>
        <w:tc>
          <w:tcPr>
            <w:tcW w:type="dxa" w:w="3024"/>
            <w:vAlign w:val="top"/>
          </w:tcPr>
          <w:p>
            <w:r/>
            <w:r>
              <w:rPr>
                <w:b w:val="0"/>
                <w:sz w:val="18"/>
              </w:rPr>
              <w:t>ERC-20 views</w:t>
            </w:r>
          </w:p>
        </w:tc>
        <w:tc>
          <w:tcPr>
            <w:tcW w:type="dxa" w:w="7200"/>
            <w:vAlign w:val="top"/>
          </w:tcPr>
          <w:p>
            <w:r/>
            <w:r>
              <w:rPr>
                <w:b w:val="0"/>
                <w:sz w:val="18"/>
              </w:rPr>
              <w:t>name, symbol, decimals, totalSupply, balanceOf, allowance</w:t>
            </w:r>
          </w:p>
        </w:tc>
      </w:tr>
      <w:tr>
        <w:tc>
          <w:tcPr>
            <w:tcW w:type="dxa" w:w="3024"/>
            <w:vAlign w:val="top"/>
          </w:tcPr>
          <w:p>
            <w:r/>
            <w:r>
              <w:rPr>
                <w:b w:val="0"/>
                <w:sz w:val="18"/>
              </w:rPr>
              <w:t>Permit/EIP712 views</w:t>
            </w:r>
          </w:p>
        </w:tc>
        <w:tc>
          <w:tcPr>
            <w:tcW w:type="dxa" w:w="7200"/>
            <w:vAlign w:val="top"/>
          </w:tcPr>
          <w:p>
            <w:r/>
            <w:r>
              <w:rPr>
                <w:b w:val="0"/>
                <w:sz w:val="18"/>
              </w:rPr>
              <w:t>DOMAIN_SEPARATOR, nonces, eip712Domain</w:t>
            </w:r>
          </w:p>
        </w:tc>
      </w:tr>
      <w:tr>
        <w:tc>
          <w:tcPr>
            <w:tcW w:type="dxa" w:w="3024"/>
            <w:vAlign w:val="top"/>
          </w:tcPr>
          <w:p>
            <w:r/>
            <w:r>
              <w:rPr>
                <w:b w:val="0"/>
                <w:sz w:val="18"/>
              </w:rPr>
              <w:t>Roles</w:t>
            </w:r>
          </w:p>
        </w:tc>
        <w:tc>
          <w:tcPr>
            <w:tcW w:type="dxa" w:w="7200"/>
            <w:vAlign w:val="top"/>
          </w:tcPr>
          <w:p>
            <w:r/>
            <w:r>
              <w:rPr>
                <w:b w:val="0"/>
                <w:sz w:val="18"/>
              </w:rPr>
              <w:t>DEFAULT_ADMIN_ROLE, GOVERNOR_ROLE, UPGRADER_ROLE, EMERGENCY_ROLE, getRoleAdmin, hasRole, supportsInterface</w:t>
            </w:r>
          </w:p>
        </w:tc>
      </w:tr>
      <w:tr>
        <w:tc>
          <w:tcPr>
            <w:tcW w:type="dxa" w:w="3024"/>
            <w:vAlign w:val="top"/>
          </w:tcPr>
          <w:p>
            <w:r/>
            <w:r>
              <w:rPr>
                <w:b w:val="0"/>
                <w:sz w:val="18"/>
              </w:rPr>
              <w:t>Fee/config</w:t>
            </w:r>
          </w:p>
        </w:tc>
        <w:tc>
          <w:tcPr>
            <w:tcW w:type="dxa" w:w="7200"/>
            <w:vAlign w:val="top"/>
          </w:tcPr>
          <w:p>
            <w:r/>
            <w:r>
              <w:rPr>
                <w:b w:val="0"/>
                <w:sz w:val="18"/>
              </w:rPr>
              <w:t>fees, MAX_FEE_BPS, BPS, feeExempt, limitsExempt, isPair, lpPairs</w:t>
            </w:r>
          </w:p>
        </w:tc>
      </w:tr>
      <w:tr>
        <w:tc>
          <w:tcPr>
            <w:tcW w:type="dxa" w:w="3024"/>
            <w:vAlign w:val="top"/>
          </w:tcPr>
          <w:p>
            <w:r/>
            <w:r>
              <w:rPr>
                <w:b w:val="0"/>
                <w:sz w:val="18"/>
              </w:rPr>
              <w:t>Auto-liquidity</w:t>
            </w:r>
          </w:p>
        </w:tc>
        <w:tc>
          <w:tcPr>
            <w:tcW w:type="dxa" w:w="7200"/>
            <w:vAlign w:val="top"/>
          </w:tcPr>
          <w:p>
            <w:r/>
            <w:r>
              <w:rPr>
                <w:b w:val="0"/>
                <w:sz w:val="18"/>
              </w:rPr>
              <w:t>uniswapRouter, uniswapPair, autoSwapThreshold, autoSwapSlippageBps, autoSwapEnabled, maxAutoSwapChunk, v2Initialized</w:t>
            </w:r>
          </w:p>
        </w:tc>
      </w:tr>
      <w:tr>
        <w:tc>
          <w:tcPr>
            <w:tcW w:type="dxa" w:w="3024"/>
            <w:vAlign w:val="top"/>
          </w:tcPr>
          <w:p>
            <w:r/>
            <w:r>
              <w:rPr>
                <w:b w:val="0"/>
                <w:sz w:val="18"/>
              </w:rPr>
              <w:t>Wallet references</w:t>
            </w:r>
          </w:p>
        </w:tc>
        <w:tc>
          <w:tcPr>
            <w:tcW w:type="dxa" w:w="7200"/>
            <w:vAlign w:val="top"/>
          </w:tcPr>
          <w:p>
            <w:r/>
            <w:r>
              <w:rPr>
                <w:b w:val="0"/>
                <w:sz w:val="18"/>
              </w:rPr>
              <w:t>devWallet, stakingVault, daoWallet, liquidityCollector, cexListingsWallet, contributorsWallet, nftsWallet, marketingWallet, treasury</w:t>
            </w:r>
          </w:p>
        </w:tc>
      </w:tr>
      <w:tr>
        <w:tc>
          <w:tcPr>
            <w:tcW w:type="dxa" w:w="3024"/>
            <w:vAlign w:val="top"/>
          </w:tcPr>
          <w:p>
            <w:r/>
            <w:r>
              <w:rPr>
                <w:b w:val="0"/>
                <w:sz w:val="18"/>
              </w:rPr>
              <w:t>Blacklist and state</w:t>
            </w:r>
          </w:p>
        </w:tc>
        <w:tc>
          <w:tcPr>
            <w:tcW w:type="dxa" w:w="7200"/>
            <w:vAlign w:val="top"/>
          </w:tcPr>
          <w:p>
            <w:r/>
            <w:r>
              <w:rPr>
                <w:b w:val="0"/>
                <w:sz w:val="18"/>
              </w:rPr>
              <w:t>blacklistRenounced, blacklisted, isBlacklisted, totalBurned, failedEth, totalFailedEth, paused, emergencyStop</w:t>
            </w:r>
          </w:p>
        </w:tc>
      </w:tr>
      <w:tr>
        <w:tc>
          <w:tcPr>
            <w:tcW w:type="dxa" w:w="3024"/>
            <w:vAlign w:val="top"/>
          </w:tcPr>
          <w:p>
            <w:r/>
            <w:r>
              <w:rPr>
                <w:b w:val="0"/>
                <w:sz w:val="18"/>
              </w:rPr>
              <w:t>Version</w:t>
            </w:r>
          </w:p>
        </w:tc>
        <w:tc>
          <w:tcPr>
            <w:tcW w:type="dxa" w:w="7200"/>
            <w:vAlign w:val="top"/>
          </w:tcPr>
          <w:p>
            <w:r/>
            <w:r>
              <w:rPr>
                <w:b w:val="0"/>
                <w:sz w:val="18"/>
              </w:rPr>
              <w:t>noxVersion returns NONOS_NOX_MAINNET_V3</w:t>
            </w:r>
          </w:p>
        </w:tc>
      </w:tr>
    </w:tbl>
    <w:p/>
    <w:p>
      <w:pPr>
        <w:pStyle w:val="Heading1"/>
      </w:pPr>
      <w:r>
        <w:t>13. Events</w:t>
      </w:r>
    </w:p>
    <w:p>
      <w:r>
        <w:t>The implementation emits standard ERC-20 events and configuration events. Events are important for indexers, explorers, and community transparency.</w:t>
      </w:r>
    </w:p>
    <w:tbl>
      <w:tblPr>
        <w:tblStyle w:val="TableGrid"/>
        <w:tblW w:type="auto" w:w="0"/>
        <w:jc w:val="center"/>
        <w:tblLook w:firstColumn="1" w:firstRow="1" w:lastColumn="0" w:lastRow="0" w:noHBand="0" w:noVBand="1" w:val="04A0"/>
      </w:tblPr>
      <w:tblGrid>
        <w:gridCol w:w="5184"/>
        <w:gridCol w:w="5184"/>
      </w:tblGrid>
      <w:tr>
        <w:tc>
          <w:tcPr>
            <w:tcW w:type="dxa" w:w="3744"/>
            <w:shd w:fill="D9EAF7"/>
            <w:vAlign w:val="center"/>
          </w:tcPr>
          <w:p>
            <w:r/>
            <w:r>
              <w:rPr>
                <w:b/>
                <w:sz w:val="18"/>
              </w:rPr>
              <w:t>Event</w:t>
            </w:r>
          </w:p>
        </w:tc>
        <w:tc>
          <w:tcPr>
            <w:tcW w:type="dxa" w:w="6480"/>
            <w:shd w:fill="D9EAF7"/>
            <w:vAlign w:val="center"/>
          </w:tcPr>
          <w:p>
            <w:r/>
            <w:r>
              <w:rPr>
                <w:b/>
                <w:sz w:val="18"/>
              </w:rPr>
              <w:t>Meaning</w:t>
            </w:r>
          </w:p>
        </w:tc>
      </w:tr>
      <w:tr>
        <w:tc>
          <w:tcPr>
            <w:tcW w:type="dxa" w:w="3744"/>
            <w:vAlign w:val="top"/>
          </w:tcPr>
          <w:p>
            <w:r/>
            <w:r>
              <w:rPr>
                <w:b w:val="0"/>
                <w:sz w:val="18"/>
              </w:rPr>
              <w:t>Transfer / Approval</w:t>
            </w:r>
          </w:p>
        </w:tc>
        <w:tc>
          <w:tcPr>
            <w:tcW w:type="dxa" w:w="6480"/>
            <w:vAlign w:val="top"/>
          </w:tcPr>
          <w:p>
            <w:r/>
            <w:r>
              <w:rPr>
                <w:b w:val="0"/>
                <w:sz w:val="18"/>
              </w:rPr>
              <w:t>Standard ERC-20 movements and approvals.</w:t>
            </w:r>
          </w:p>
        </w:tc>
      </w:tr>
      <w:tr>
        <w:tc>
          <w:tcPr>
            <w:tcW w:type="dxa" w:w="3744"/>
            <w:vAlign w:val="top"/>
          </w:tcPr>
          <w:p>
            <w:r/>
            <w:r>
              <w:rPr>
                <w:b w:val="0"/>
                <w:sz w:val="18"/>
              </w:rPr>
              <w:t>FeesUpdated</w:t>
            </w:r>
          </w:p>
        </w:tc>
        <w:tc>
          <w:tcPr>
            <w:tcW w:type="dxa" w:w="6480"/>
            <w:vAlign w:val="top"/>
          </w:tcPr>
          <w:p>
            <w:r/>
            <w:r>
              <w:rPr>
                <w:b w:val="0"/>
                <w:sz w:val="18"/>
              </w:rPr>
              <w:t>Fee configuration changed.</w:t>
            </w:r>
          </w:p>
        </w:tc>
      </w:tr>
      <w:tr>
        <w:tc>
          <w:tcPr>
            <w:tcW w:type="dxa" w:w="3744"/>
            <w:vAlign w:val="top"/>
          </w:tcPr>
          <w:p>
            <w:r/>
            <w:r>
              <w:rPr>
                <w:b w:val="0"/>
                <w:sz w:val="18"/>
              </w:rPr>
              <w:t>AutoLiquify / AutoSwapFailed / AutoSwapConfigUpdated</w:t>
            </w:r>
          </w:p>
        </w:tc>
        <w:tc>
          <w:tcPr>
            <w:tcW w:type="dxa" w:w="6480"/>
            <w:vAlign w:val="top"/>
          </w:tcPr>
          <w:p>
            <w:r/>
            <w:r>
              <w:rPr>
                <w:b w:val="0"/>
                <w:sz w:val="18"/>
              </w:rPr>
              <w:t>Auto-liquidity execution/config events.</w:t>
            </w:r>
          </w:p>
        </w:tc>
      </w:tr>
      <w:tr>
        <w:tc>
          <w:tcPr>
            <w:tcW w:type="dxa" w:w="3744"/>
            <w:vAlign w:val="top"/>
          </w:tcPr>
          <w:p>
            <w:r/>
            <w:r>
              <w:rPr>
                <w:b w:val="0"/>
                <w:sz w:val="18"/>
              </w:rPr>
              <w:t>PairStatusUpdated</w:t>
            </w:r>
          </w:p>
        </w:tc>
        <w:tc>
          <w:tcPr>
            <w:tcW w:type="dxa" w:w="6480"/>
            <w:vAlign w:val="top"/>
          </w:tcPr>
          <w:p>
            <w:r/>
            <w:r>
              <w:rPr>
                <w:b w:val="0"/>
                <w:sz w:val="18"/>
              </w:rPr>
              <w:t>LP pair status changed.</w:t>
            </w:r>
          </w:p>
        </w:tc>
      </w:tr>
      <w:tr>
        <w:tc>
          <w:tcPr>
            <w:tcW w:type="dxa" w:w="3744"/>
            <w:vAlign w:val="top"/>
          </w:tcPr>
          <w:p>
            <w:r/>
            <w:r>
              <w:rPr>
                <w:b w:val="0"/>
                <w:sz w:val="18"/>
              </w:rPr>
              <w:t>ExemptionsUpdated</w:t>
            </w:r>
          </w:p>
        </w:tc>
        <w:tc>
          <w:tcPr>
            <w:tcW w:type="dxa" w:w="6480"/>
            <w:vAlign w:val="top"/>
          </w:tcPr>
          <w:p>
            <w:r/>
            <w:r>
              <w:rPr>
                <w:b w:val="0"/>
                <w:sz w:val="18"/>
              </w:rPr>
              <w:t>Fee/limit exemption changed.</w:t>
            </w:r>
          </w:p>
        </w:tc>
      </w:tr>
      <w:tr>
        <w:tc>
          <w:tcPr>
            <w:tcW w:type="dxa" w:w="3744"/>
            <w:vAlign w:val="top"/>
          </w:tcPr>
          <w:p>
            <w:r/>
            <w:r>
              <w:rPr>
                <w:b w:val="0"/>
                <w:sz w:val="18"/>
              </w:rPr>
              <w:t>BlacklistUpdated / BlacklistRenounced</w:t>
            </w:r>
          </w:p>
        </w:tc>
        <w:tc>
          <w:tcPr>
            <w:tcW w:type="dxa" w:w="6480"/>
            <w:vAlign w:val="top"/>
          </w:tcPr>
          <w:p>
            <w:r/>
            <w:r>
              <w:rPr>
                <w:b w:val="0"/>
                <w:sz w:val="18"/>
              </w:rPr>
              <w:t>Blacklist state changed or renounced.</w:t>
            </w:r>
          </w:p>
        </w:tc>
      </w:tr>
      <w:tr>
        <w:tc>
          <w:tcPr>
            <w:tcW w:type="dxa" w:w="3744"/>
            <w:vAlign w:val="top"/>
          </w:tcPr>
          <w:p>
            <w:r/>
            <w:r>
              <w:rPr>
                <w:b w:val="0"/>
                <w:sz w:val="18"/>
              </w:rPr>
              <w:t>RecipientsUpdated / AuxRecipientsUpdated</w:t>
            </w:r>
          </w:p>
        </w:tc>
        <w:tc>
          <w:tcPr>
            <w:tcW w:type="dxa" w:w="6480"/>
            <w:vAlign w:val="top"/>
          </w:tcPr>
          <w:p>
            <w:r/>
            <w:r>
              <w:rPr>
                <w:b w:val="0"/>
                <w:sz w:val="18"/>
              </w:rPr>
              <w:t>Wallet references changed.</w:t>
            </w:r>
          </w:p>
        </w:tc>
      </w:tr>
      <w:tr>
        <w:tc>
          <w:tcPr>
            <w:tcW w:type="dxa" w:w="3744"/>
            <w:vAlign w:val="top"/>
          </w:tcPr>
          <w:p>
            <w:r/>
            <w:r>
              <w:rPr>
                <w:b w:val="0"/>
                <w:sz w:val="18"/>
              </w:rPr>
              <w:t>Upgraded</w:t>
            </w:r>
          </w:p>
        </w:tc>
        <w:tc>
          <w:tcPr>
            <w:tcW w:type="dxa" w:w="6480"/>
            <w:vAlign w:val="top"/>
          </w:tcPr>
          <w:p>
            <w:r/>
            <w:r>
              <w:rPr>
                <w:b w:val="0"/>
                <w:sz w:val="18"/>
              </w:rPr>
              <w:t>Proxy implementation upgraded.</w:t>
            </w:r>
          </w:p>
        </w:tc>
      </w:tr>
      <w:tr>
        <w:tc>
          <w:tcPr>
            <w:tcW w:type="dxa" w:w="3744"/>
            <w:vAlign w:val="top"/>
          </w:tcPr>
          <w:p>
            <w:r/>
            <w:r>
              <w:rPr>
                <w:b w:val="0"/>
                <w:sz w:val="18"/>
              </w:rPr>
              <w:t>RoleGranted / RoleRevoked / RoleAdminChanged</w:t>
            </w:r>
          </w:p>
        </w:tc>
        <w:tc>
          <w:tcPr>
            <w:tcW w:type="dxa" w:w="6480"/>
            <w:vAlign w:val="top"/>
          </w:tcPr>
          <w:p>
            <w:r/>
            <w:r>
              <w:rPr>
                <w:b w:val="0"/>
                <w:sz w:val="18"/>
              </w:rPr>
              <w:t>AccessControl role changes.</w:t>
            </w:r>
          </w:p>
        </w:tc>
      </w:tr>
      <w:tr>
        <w:tc>
          <w:tcPr>
            <w:tcW w:type="dxa" w:w="3744"/>
            <w:vAlign w:val="top"/>
          </w:tcPr>
          <w:p>
            <w:r/>
            <w:r>
              <w:rPr>
                <w:b w:val="0"/>
                <w:sz w:val="18"/>
              </w:rPr>
              <w:t>RescueETH / FailedEthClaimed</w:t>
            </w:r>
          </w:p>
        </w:tc>
        <w:tc>
          <w:tcPr>
            <w:tcW w:type="dxa" w:w="6480"/>
            <w:vAlign w:val="top"/>
          </w:tcPr>
          <w:p>
            <w:r/>
            <w:r>
              <w:rPr>
                <w:b w:val="0"/>
                <w:sz w:val="18"/>
              </w:rPr>
              <w:t>ETH handling events.</w:t>
            </w:r>
          </w:p>
        </w:tc>
      </w:tr>
    </w:tbl>
    <w:p/>
    <w:p>
      <w:pPr>
        <w:pStyle w:val="Heading1"/>
      </w:pPr>
      <w:r>
        <w:t>14. Important accuracy findings</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r/>
            <w:r>
              <w:rPr>
                <w:b/>
                <w:sz w:val="18"/>
              </w:rPr>
              <w:t>Finding</w:t>
            </w:r>
          </w:p>
        </w:tc>
        <w:tc>
          <w:tcPr>
            <w:tcW w:type="dxa" w:w="6912"/>
            <w:shd w:fill="D9EAF7"/>
            <w:vAlign w:val="center"/>
          </w:tcPr>
          <w:p>
            <w:r/>
            <w:r>
              <w:rPr>
                <w:b/>
                <w:sz w:val="18"/>
              </w:rPr>
              <w:t>Details</w:t>
            </w:r>
          </w:p>
        </w:tc>
      </w:tr>
      <w:tr>
        <w:tc>
          <w:tcPr>
            <w:tcW w:type="dxa" w:w="3168"/>
            <w:vAlign w:val="top"/>
          </w:tcPr>
          <w:p>
            <w:r/>
            <w:r>
              <w:rPr>
                <w:b w:val="0"/>
                <w:sz w:val="18"/>
              </w:rPr>
              <w:t>Live implementation identified</w:t>
            </w:r>
          </w:p>
        </w:tc>
        <w:tc>
          <w:tcPr>
            <w:tcW w:type="dxa" w:w="6912"/>
            <w:vAlign w:val="top"/>
          </w:tcPr>
          <w:p>
            <w:r/>
            <w:r>
              <w:rPr>
                <w:b w:val="0"/>
                <w:sz w:val="18"/>
              </w:rPr>
              <w:t>Etherscan shows active implementation 0x43F805D1e6667CFceacB3c117B1d9dC4E5879B7D for token proxy 0x0a26c80Be4E060e688d7C23aDdB92cBb5D2C9eCA.</w:t>
            </w:r>
          </w:p>
        </w:tc>
      </w:tr>
      <w:tr>
        <w:tc>
          <w:tcPr>
            <w:tcW w:type="dxa" w:w="3168"/>
            <w:vAlign w:val="top"/>
          </w:tcPr>
          <w:p>
            <w:r/>
            <w:r>
              <w:rPr>
                <w:b w:val="0"/>
                <w:sz w:val="18"/>
              </w:rPr>
              <w:t>Verified implementation name</w:t>
            </w:r>
          </w:p>
        </w:tc>
        <w:tc>
          <w:tcPr>
            <w:tcW w:type="dxa" w:w="6912"/>
            <w:vAlign w:val="top"/>
          </w:tcPr>
          <w:p>
            <w:r/>
            <w:r>
              <w:rPr>
                <w:b w:val="0"/>
                <w:sz w:val="18"/>
              </w:rPr>
              <w:t>Implementation is verified as NONOS_NOX_MAINNET_V3.</w:t>
            </w:r>
          </w:p>
        </w:tc>
      </w:tr>
      <w:tr>
        <w:tc>
          <w:tcPr>
            <w:tcW w:type="dxa" w:w="3168"/>
            <w:vAlign w:val="top"/>
          </w:tcPr>
          <w:p>
            <w:r/>
            <w:r>
              <w:rPr>
                <w:b w:val="0"/>
                <w:sz w:val="18"/>
              </w:rPr>
              <w:t>Proxy upgrade history exists</w:t>
            </w:r>
          </w:p>
        </w:tc>
        <w:tc>
          <w:tcPr>
            <w:tcW w:type="dxa" w:w="6912"/>
            <w:vAlign w:val="top"/>
          </w:tcPr>
          <w:p>
            <w:r/>
            <w:r>
              <w:rPr>
                <w:b w:val="0"/>
                <w:sz w:val="18"/>
              </w:rPr>
              <w:t>Etherscan shows multiple proxy upgrades; the latest visible active upgrade was to 0x43F805... on 2026-06-03.</w:t>
            </w:r>
          </w:p>
        </w:tc>
      </w:tr>
      <w:tr>
        <w:tc>
          <w:tcPr>
            <w:tcW w:type="dxa" w:w="3168"/>
            <w:vAlign w:val="top"/>
          </w:tcPr>
          <w:p>
            <w:r/>
            <w:r>
              <w:rPr>
                <w:b w:val="0"/>
                <w:sz w:val="18"/>
              </w:rPr>
              <w:t>No audit submitted on Etherscan</w:t>
            </w:r>
          </w:p>
        </w:tc>
        <w:tc>
          <w:tcPr>
            <w:tcW w:type="dxa" w:w="6912"/>
            <w:vAlign w:val="top"/>
          </w:tcPr>
          <w:p>
            <w:r/>
            <w:r>
              <w:rPr>
                <w:b w:val="0"/>
                <w:sz w:val="18"/>
              </w:rPr>
              <w:t>Etherscan implementation page shows no contract security audit submitted.</w:t>
            </w:r>
          </w:p>
        </w:tc>
      </w:tr>
      <w:tr>
        <w:tc>
          <w:tcPr>
            <w:tcW w:type="dxa" w:w="3168"/>
            <w:vAlign w:val="top"/>
          </w:tcPr>
          <w:p>
            <w:r/>
            <w:r>
              <w:rPr>
                <w:b w:val="0"/>
                <w:sz w:val="18"/>
              </w:rPr>
              <w:t>Fee cap is real</w:t>
            </w:r>
          </w:p>
        </w:tc>
        <w:tc>
          <w:tcPr>
            <w:tcW w:type="dxa" w:w="6912"/>
            <w:vAlign w:val="top"/>
          </w:tcPr>
          <w:p>
            <w:r/>
            <w:r>
              <w:rPr>
                <w:b w:val="0"/>
                <w:sz w:val="18"/>
              </w:rPr>
              <w:t>MAX_FEE_BPS = 300, and setFees validates buy/sell/transfer fees against that cap.</w:t>
            </w:r>
          </w:p>
        </w:tc>
      </w:tr>
      <w:tr>
        <w:tc>
          <w:tcPr>
            <w:tcW w:type="dxa" w:w="3168"/>
            <w:vAlign w:val="top"/>
          </w:tcPr>
          <w:p>
            <w:r/>
            <w:r>
              <w:rPr>
                <w:b w:val="0"/>
                <w:sz w:val="18"/>
              </w:rPr>
              <w:t>Current tax claim needs direct state confirmation for legal wording</w:t>
            </w:r>
          </w:p>
        </w:tc>
        <w:tc>
          <w:tcPr>
            <w:tcW w:type="dxa" w:w="6912"/>
            <w:vAlign w:val="top"/>
          </w:tcPr>
          <w:p>
            <w:r/>
            <w:r>
              <w:rPr>
                <w:b w:val="0"/>
                <w:sz w:val="18"/>
              </w:rPr>
              <w:t>Source comments and public token metadata say 0% buy / 3% sell. The source initializer shows an earlier/default 2.5% buy / 2.5% sell. Live state can differ because setFees exists.</w:t>
            </w:r>
          </w:p>
        </w:tc>
      </w:tr>
      <w:tr>
        <w:tc>
          <w:tcPr>
            <w:tcW w:type="dxa" w:w="3168"/>
            <w:vAlign w:val="top"/>
          </w:tcPr>
          <w:p>
            <w:r/>
            <w:r>
              <w:rPr>
                <w:b w:val="0"/>
                <w:sz w:val="18"/>
              </w:rPr>
              <w:t>No public mint in current implementation</w:t>
            </w:r>
          </w:p>
        </w:tc>
        <w:tc>
          <w:tcPr>
            <w:tcW w:type="dxa" w:w="6912"/>
            <w:vAlign w:val="top"/>
          </w:tcPr>
          <w:p>
            <w:r/>
            <w:r>
              <w:rPr>
                <w:b w:val="0"/>
                <w:sz w:val="18"/>
              </w:rPr>
              <w:t>Current source has initializer mints only; no external mint function appears in the reviewed implementation ABI/source.</w:t>
            </w:r>
          </w:p>
        </w:tc>
      </w:tr>
      <w:tr>
        <w:tc>
          <w:tcPr>
            <w:tcW w:type="dxa" w:w="3168"/>
            <w:vAlign w:val="top"/>
          </w:tcPr>
          <w:p>
            <w:r/>
            <w:r>
              <w:rPr>
                <w:b w:val="0"/>
                <w:sz w:val="18"/>
              </w:rPr>
              <w:t>Upgrade risk remains</w:t>
            </w:r>
          </w:p>
        </w:tc>
        <w:tc>
          <w:tcPr>
            <w:tcW w:type="dxa" w:w="6912"/>
            <w:vAlign w:val="top"/>
          </w:tcPr>
          <w:p>
            <w:r/>
            <w:r>
              <w:rPr>
                <w:b w:val="0"/>
                <w:sz w:val="18"/>
              </w:rPr>
              <w:t>Because this is an upgradeable proxy, future logic can differ from this document if upgraded.</w:t>
            </w:r>
          </w:p>
        </w:tc>
      </w:tr>
      <w:tr>
        <w:tc>
          <w:tcPr>
            <w:tcW w:type="dxa" w:w="3168"/>
            <w:vAlign w:val="top"/>
          </w:tcPr>
          <w:p>
            <w:r/>
            <w:r>
              <w:rPr>
                <w:b w:val="0"/>
                <w:sz w:val="18"/>
              </w:rPr>
              <w:t>Guard variables are mostly not active</w:t>
            </w:r>
          </w:p>
        </w:tc>
        <w:tc>
          <w:tcPr>
            <w:tcW w:type="dxa" w:w="6912"/>
            <w:vAlign w:val="top"/>
          </w:tcPr>
          <w:p>
            <w:r/>
            <w:r>
              <w:rPr>
                <w:b w:val="0"/>
                <w:sz w:val="18"/>
              </w:rPr>
              <w:t>Several guard/limit/cooldown variables exist, but reviewed _update logic does not enforce them.</w:t>
            </w:r>
          </w:p>
        </w:tc>
      </w:tr>
      <w:tr>
        <w:tc>
          <w:tcPr>
            <w:tcW w:type="dxa" w:w="3168"/>
            <w:vAlign w:val="top"/>
          </w:tcPr>
          <w:p>
            <w:r/>
            <w:r>
              <w:rPr>
                <w:b w:val="0"/>
                <w:sz w:val="18"/>
              </w:rPr>
              <w:t>Blacklist is active until renounced</w:t>
            </w:r>
          </w:p>
        </w:tc>
        <w:tc>
          <w:tcPr>
            <w:tcW w:type="dxa" w:w="6912"/>
            <w:vAlign w:val="top"/>
          </w:tcPr>
          <w:p>
            <w:r/>
            <w:r>
              <w:rPr>
                <w:b w:val="0"/>
                <w:sz w:val="18"/>
              </w:rPr>
              <w:t>The blacklist check is in _update. Governance can renounce blacklist permanently using renounceBlacklist.</w:t>
            </w:r>
          </w:p>
        </w:tc>
      </w:tr>
    </w:tbl>
    <w:p/>
    <w:p>
      <w:pPr>
        <w:pStyle w:val="Heading1"/>
      </w:pPr>
      <w:r>
        <w:t>15. Plain-English contract explanation</w:t>
      </w:r>
    </w:p>
    <w:p>
      <w:r>
        <w:t>NOX behaves like a normal ERC-20 for transfers and approvals, but transfers pass through custom logic first. That logic checks blacklist status, optionally takes a fee, optionally burns part of the fee, stores the remainder inside the token contract, and may trigger auto-liquidity on sells.</w:t>
      </w:r>
    </w:p>
    <w:p>
      <w:r>
        <w:t>The fee system is controlled by governance but capped at 3% per buy/sell/transfer category. The public project wording says the intended current mode is 0% buy and 3% sell, with sell fees supporting burn and liquidity.</w:t>
      </w:r>
    </w:p>
    <w:p>
      <w:r>
        <w:t>Auto-liquidity is designed to take fee tokens collected by the contract, swap part of them to ETH, and add NOX/ETH liquidity. The LP tokens are sent to the dead address, making that generated liquidity effectively locked/burned.</w:t>
      </w:r>
    </w:p>
    <w:p>
      <w:r>
        <w:t>The token does not expose a public mint function in the current implementation. Total supply can still decrease because users can burn tokens and the fee system can burn part of collected fees.</w:t>
      </w:r>
    </w:p>
    <w:p>
      <w:r>
        <w:t>The contract is upgradeable. This is normal for UUPS systems but it is a major trust surface: whoever controls UPGRADER_ROLE can authorize a future implementation, subject to the project governance/security setup.</w:t>
      </w:r>
    </w:p>
    <w:p>
      <w:pPr>
        <w:pStyle w:val="Heading1"/>
      </w:pPr>
      <w:r>
        <w:t>16. Suggested community wording</w:t>
      </w:r>
    </w:p>
    <w:p>
      <w:r>
        <w:t>For public/community use, the safest honest version is:</w:t>
      </w:r>
    </w:p>
    <w:p>
      <w:pPr/>
      <w:r>
        <w:rPr>
          <w:i/>
        </w:rPr>
        <w:t>NOX is an upgradeable ERC-20 on Ethereum mainnet. The live proxy is 0x0a26c80Be4E060e688d7C23aDdB92cBb5D2C9eCA and Etherscan shows the active implementation as NONOS_NOX_MAINNET_V3 at 0x43F805D1e6667CFceacB3c117B1d9dC4E5879B7D. The contract has a max supply constant of 800M NOX, burn support, permit approvals, a capped fee system, and auto-liquidity logic. The public tax model is 0% buy and 3% sell, with fees supporting burn and liquidity, but anyone publishing final docs should verify fees() directly on-chain at the time of publication because fees are governor-configurable within the 3% cap.</w:t>
      </w:r>
    </w:p>
    <w:p>
      <w:pPr>
        <w:pStyle w:val="Heading1"/>
      </w:pPr>
      <w:r>
        <w:t>17. Source references</w:t>
      </w:r>
    </w:p>
    <w:p>
      <w:r>
        <w:rPr>
          <w:b/>
        </w:rPr>
        <w:t xml:space="preserve">Etherscan token/proxy page: </w:t>
      </w:r>
      <w:r>
        <w:t>https://etherscan.io/token/0x0a26c80Be4E060e688d7C23aDdB92cBb5D2C9eCA</w:t>
      </w:r>
    </w:p>
    <w:p>
      <w:r>
        <w:rPr>
          <w:b/>
        </w:rPr>
        <w:t xml:space="preserve">Etherscan proxy address page: </w:t>
      </w:r>
      <w:r>
        <w:t>https://etherscan.io/address/0x0a26c80Be4E060e688d7C23aDdB92cBb5D2C9eCA</w:t>
      </w:r>
    </w:p>
    <w:p>
      <w:r>
        <w:rPr>
          <w:b/>
        </w:rPr>
        <w:t xml:space="preserve">Etherscan active implementation page: </w:t>
      </w:r>
      <w:r>
        <w:t>https://etherscan.io/address/0x43F805D1e6667CFceacB3c117B1d9dC4E5879B7D</w:t>
      </w:r>
    </w:p>
    <w:p>
      <w:r>
        <w:rPr>
          <w:b/>
        </w:rPr>
        <w:t xml:space="preserve">GitHub NOXTokenV3 source: </w:t>
      </w:r>
      <w:r>
        <w:t>https://github.com/NON-OS/NOX-SmartContract/blob/main/contracts/token/NOXTokenV3.sol</w:t>
      </w:r>
    </w:p>
    <w:p>
      <w:r>
        <w:rPr>
          <w:b/>
        </w:rPr>
        <w:t xml:space="preserve">Official/mainnet contracts reference: </w:t>
      </w:r>
      <w:r>
        <w:t>https://nonos.software/docs/0xnox/reference/contracts/</w:t>
      </w:r>
    </w:p>
    <w:p>
      <w:r>
        <w:rPr>
          <w:b/>
        </w:rPr>
        <w:t xml:space="preserve">CoinGecko NOX page: </w:t>
      </w:r>
      <w:r>
        <w:t>https://www.coingecko.com/en/coins/nonos-2</w:t>
      </w:r>
    </w:p>
    <w:p>
      <w:r>
        <w:rPr>
          <w:b/>
        </w:rPr>
        <w:t xml:space="preserve">Uniswap token page: </w:t>
      </w:r>
      <w:r>
        <w:t>https://app.uniswap.org/explore/tokens/ethereum/0x0a26c80be4e060e688d7c23addb92cbb5d2c9eca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NOX Token Contract Documentation - technical reference, not an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