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ba0057"/>
          <w:rtl w:val="0"/>
        </w:rPr>
        <w:t xml:space="preserve">Personal Budget &amp; Expense Tracker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f9900"/>
          <w:u w:val="single"/>
        </w:rPr>
      </w:pPr>
      <w:r w:rsidDel="00000000" w:rsidR="00000000" w:rsidRPr="00000000">
        <w:rPr>
          <w:color w:val="ff9900"/>
          <w:u w:val="single"/>
          <w:rtl w:val="0"/>
        </w:rPr>
        <w:t xml:space="preserve">Week one assignment </w:t>
      </w:r>
    </w:p>
    <w:p w:rsidR="00000000" w:rsidDel="00000000" w:rsidP="00000000" w:rsidRDefault="00000000" w:rsidRPr="00000000" w14:paraId="00000004">
      <w:pPr>
        <w:rPr>
          <w:color w:val="ff99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Name: NOOR AWEYS HASSAN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provides the skeleton structure requested in Parts 1, 2, and 3.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943600" cy="6311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This provides the skeleton structure requested in Parts 4.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695950" cy="9124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912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Test it in Google Docs  And DevTool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