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40"/>
        <w:jc w:val="left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98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03504" cy="603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c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5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40" w:line="240" w:lineRule="auto"/>
            </w:pPr>
            <w:r>
              <w:rPr>
                <w:rFonts w:ascii="Avenir Next" w:hAnsi="Avenir Next" w:eastAsia="Avenir Next"/>
                <w:b w:val="0"/>
                <w:color w:val="353031"/>
                <w:sz w:val="25"/>
              </w:rPr>
              <w:t>Nordic</w:t>
              <w:br/>
              <w:t>Resilience</w:t>
              <w:br/>
              <w:t>Communication</w:t>
            </w:r>
          </w:p>
        </w:tc>
        <w:tc>
          <w:tcPr>
            <w:tcW w:type="dxa" w:w="521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320"/>
              <w:jc w:val="right"/>
            </w:pPr>
            <w:r>
              <w:rPr>
                <w:rFonts w:ascii="Avenir Next" w:hAnsi="Avenir Next" w:eastAsia="Avenir Next"/>
                <w:b w:val="0"/>
                <w:color w:val="353031"/>
                <w:sz w:val="22"/>
              </w:rPr>
              <w:t>OFFER</w:t>
            </w:r>
          </w:p>
        </w:tc>
      </w:tr>
    </w:tbl>
    <w:p>
      <w:pPr>
        <w:spacing w:before="360"/>
        <w:pBdr>
          <w:bottom w:val="single" w:sz="4" w:space="1" w:color="DAD7D2"/>
        </w:pBdr>
      </w:pP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34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Date</w:t>
            </w:r>
          </w:p>
        </w:tc>
        <w:tc>
          <w:tcPr>
            <w:tcW w:type="dxa" w:w="230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Client</w:t>
            </w:r>
          </w:p>
        </w:tc>
        <w:tc>
          <w:tcPr>
            <w:tcW w:type="dxa" w:w="372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Client contact</w:t>
            </w:r>
          </w:p>
        </w:tc>
        <w:tc>
          <w:tcPr>
            <w:tcW w:type="dxa" w:w="188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Project number</w:t>
            </w:r>
          </w:p>
        </w:tc>
      </w:tr>
      <w:tr>
        <w:tc>
          <w:tcPr>
            <w:tcW w:type="dxa" w:w="134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2026-05-05</w:t>
            </w:r>
          </w:p>
        </w:tc>
        <w:tc>
          <w:tcPr>
            <w:tcW w:type="dxa" w:w="230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Team Neusta</w:t>
            </w:r>
          </w:p>
        </w:tc>
        <w:tc>
          <w:tcPr>
            <w:tcW w:type="dxa" w:w="372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Klaudia Kruger / André Conin</w:t>
            </w:r>
          </w:p>
        </w:tc>
        <w:tc>
          <w:tcPr>
            <w:tcW w:type="dxa" w:w="1880"/>
            <w:vAlign w:val="center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pPr>
              <w:spacing w:after="40"/>
            </w:pPr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1</w:t>
            </w:r>
          </w:p>
        </w:tc>
      </w:tr>
      <w:tr>
        <w:tc>
          <w:tcPr>
            <w:tcW w:type="dxa" w:w="9240"/>
            <w:vAlign w:val="center"/>
            <w:gridSpan w:val="4"/>
            <w:tcBorders>
              <w:top w:val="single" w:sz="4" w:color="DAD7D2"/>
              <w:left w:val="nil"/>
              <w:bottom w:val="single" w:sz="4" w:color="DAD7D2"/>
              <w:right w:val="nil"/>
            </w:tcBorders>
          </w:tcPr>
          <w:p>
            <w:r>
              <w:rPr>
                <w:rFonts w:ascii="Avenir Next" w:hAnsi="Avenir Next" w:eastAsia="Avenir Next"/>
                <w:b/>
                <w:color w:val="353031"/>
                <w:sz w:val="18"/>
              </w:rPr>
              <w:t>Project</w:t>
            </w:r>
          </w:p>
          <w:p>
            <w:r>
              <w:rPr>
                <w:rFonts w:ascii="Avenir Next" w:hAnsi="Avenir Next" w:eastAsia="Avenir Next"/>
                <w:b w:val="0"/>
                <w:color w:val="353031"/>
                <w:sz w:val="18"/>
              </w:rPr>
              <w:t>Nordic Market Entry &amp; Positioning Partnership</w:t>
            </w:r>
          </w:p>
        </w:tc>
      </w:tr>
    </w:tbl>
    <w:p>
      <w:pPr>
        <w:pBdr>
          <w:bottom w:val="single" w:sz="4" w:space="2" w:color="DAD7D2"/>
        </w:pBdr>
      </w:pPr>
      <w:r>
        <w:rPr>
          <w:rFonts w:ascii="Avenir Next" w:hAnsi="Avenir Next" w:eastAsia="Avenir Next"/>
          <w:b/>
          <w:color w:val="353031"/>
          <w:sz w:val="20"/>
        </w:rPr>
        <w:t>NORC x Safespring x Team Neusta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Team Neusta brings digital scale, engineering depth and transformation capacity.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NORC brings Nordic market understanding, strategic positioning, communication and trust-building.</w:t>
      </w:r>
    </w:p>
    <w:p>
      <w:pPr>
        <w:spacing w:after="100"/>
      </w:pPr>
      <w:r>
        <w:rPr>
          <w:rFonts w:ascii="Avenir Next" w:hAnsi="Avenir Next" w:eastAsia="Avenir Next"/>
          <w:b w:val="0"/>
          <w:color w:val="353031"/>
          <w:sz w:val="21"/>
        </w:rPr>
        <w:t>Together, the ambition is to establish a credible and commercially viable position in the Nordic market.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Engagement Principle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NORC is engaged to shape positioning, market entry and early-stage business development - not as a lead generation or sales execution provider.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1 - START (90 + 90 days)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a clear, credible and testable Nordic market position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Investment: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EUR 4,500 / month (approx. 50,000 SEK)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Duration: 3 + 3 months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1. Alignment &amp; Market Hypothesis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Define ambition, priority markets and 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initial market entry hypotheses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2. Nordic Positioning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Develop Nordic value proposition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Messaging hierarchy and narrative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Positioning adapted to Nordic decision logic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3. Focus Areas (2-3 entry points)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Recommended initial focus: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Industrial AI &amp; Digital Transformation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Digital Resilience &amp; Secure Platforms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Public Sector / Critical Infrastructure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Market Assets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Nordic presentation material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Core messaging and meeting narrative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Thought leadership angles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Pilot Outreach (limited)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Testing positioning in selected dialogues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Feedback and iteration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Out of 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Full-scale sales execution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Lead generation at scale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Campaign production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Local staffing or operational delivery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2 - SCALE (3-9 months)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Convert positioning into active business opportunities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Go-to-market execution and prioritisation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Joint offer development (2-3 packaged offers)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Strategic meetings and opportunity shaping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Communication and thought leadership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Sales enablement and refinement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Investment (indicative)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EUR 7,000 - EUR 11,000 / month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Optional success-based component</w:t>
      </w:r>
    </w:p>
    <w:p>
      <w:pPr>
        <w:pStyle w:val="Heading1"/>
        <w:keepNext/>
      </w:pPr>
      <w:r>
        <w:rPr>
          <w:rFonts w:ascii="Avenir Next" w:hAnsi="Avenir Next" w:eastAsia="Avenir Next"/>
          <w:b/>
          <w:color w:val="353031"/>
          <w:sz w:val="23"/>
        </w:rPr>
        <w:t>Phase 3 - SUSTAIN (long-term)</w:t>
      </w:r>
    </w:p>
    <w:p>
      <w:pPr>
        <w:spacing w:before="80" w:after="100"/>
      </w:pPr>
      <w:r>
        <w:rPr>
          <w:rFonts w:ascii="Avenir Next" w:hAnsi="Avenir Next" w:eastAsia="Avenir Next"/>
          <w:b/>
          <w:color w:val="353031"/>
          <w:sz w:val="20"/>
        </w:rPr>
        <w:t>Objective: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Establish a stable and scalable Nordic presence</w:t>
      </w:r>
    </w:p>
    <w:p>
      <w:pPr>
        <w:pStyle w:val="Heading2"/>
      </w:pPr>
      <w:r>
        <w:rPr>
          <w:rFonts w:ascii="Avenir Next" w:hAnsi="Avenir Next" w:eastAsia="Avenir Next"/>
          <w:b/>
          <w:color w:val="353031"/>
          <w:sz w:val="20"/>
        </w:rPr>
        <w:t>Scope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Ongoing positioning and communication governance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Strategic account development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Market intelligence and adaptation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Long-term collaboration model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Investment (indicative)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From EUR 10,000 / month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Recommended Approach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We strongly recommend starting with a focused scope (2-3 entry points), rather than introducing the full portfolio, to ensure clarity, relevance and early traction in the Nordic market.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NORC - A Viable Solution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NORC helps organisations build communication resilience in complex environments by aligning strategy, leadership, brand, digital systems, and governance into one coherent operational capability.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Viable Solutions - Nordic Special Operations Company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Viable Solutions translates strategy into operational effect through structures, systems, and capabilities that enable organisations to operate with clarity, speed, and resilience over time.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Läs mer på viablesolutions.se</w:t>
      </w:r>
    </w:p>
    <w:p>
      <w:pPr>
        <w:pStyle w:val="Heading1"/>
      </w:pPr>
      <w:r>
        <w:rPr>
          <w:rFonts w:ascii="Avenir Next" w:hAnsi="Avenir Next" w:eastAsia="Avenir Next"/>
          <w:b/>
          <w:color w:val="353031"/>
          <w:sz w:val="23"/>
        </w:rPr>
        <w:t>Contact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Anders Rasmusson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+46(0)707-266 098</w:t>
      </w:r>
    </w:p>
    <w:p>
      <w:pPr>
        <w:spacing w:before="80" w:after="100"/>
      </w:pPr>
      <w:r>
        <w:rPr>
          <w:rFonts w:ascii="Avenir Next" w:hAnsi="Avenir Next" w:eastAsia="Avenir Next"/>
          <w:b w:val="0"/>
          <w:color w:val="353031"/>
          <w:sz w:val="20"/>
        </w:rPr>
        <w:t>contact@norc.agency</w:t>
      </w:r>
    </w:p>
    <w:sectPr w:rsidR="00FC693F" w:rsidRPr="0006063C" w:rsidSect="00034616">
      <w:footerReference w:type="default" r:id="rId10"/>
      <w:pgSz w:w="11906" w:h="16838"/>
      <w:pgMar w:top="1020" w:right="1332" w:bottom="964" w:left="133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venir Next" w:hAnsi="Avenir Next" w:eastAsia="Avenir Next"/>
        <w:b w:val="0"/>
        <w:color w:val="353031"/>
        <w:sz w:val="15"/>
      </w:rPr>
      <w:t>NORC / A VIABLE SOLUTION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venir Next" w:hAnsi="Avenir Next" w:eastAsia="Avenir Next"/>
      <w:color w:val="3530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venir Next" w:hAnsi="Avenir Next" w:eastAsia="Avenir Next"/>
      <w:b/>
      <w:bCs/>
      <w:color w:val="35303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venir Next" w:hAnsi="Avenir Next" w:eastAsia="Avenir Next"/>
      <w:b/>
      <w:color w:val="35303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