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40"/>
        <w:jc w:val="left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98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03504" cy="603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c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5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40" w:line="240" w:lineRule="auto"/>
            </w:pPr>
            <w:r>
              <w:rPr>
                <w:rFonts w:ascii="Avenir Next" w:hAnsi="Avenir Next" w:eastAsia="Avenir Next"/>
                <w:b w:val="0"/>
                <w:color w:val="353031"/>
                <w:sz w:val="25"/>
              </w:rPr>
              <w:t>Nordic</w:t>
              <w:br/>
              <w:t>Resilience</w:t>
              <w:br/>
              <w:t>Communication</w:t>
            </w:r>
          </w:p>
        </w:tc>
        <w:tc>
          <w:tcPr>
            <w:tcW w:type="dxa" w:w="521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320"/>
              <w:jc w:val="right"/>
            </w:pPr>
            <w:r>
              <w:rPr>
                <w:rFonts w:ascii="Avenir Next" w:hAnsi="Avenir Next" w:eastAsia="Avenir Next"/>
                <w:b w:val="0"/>
                <w:color w:val="353031"/>
                <w:sz w:val="22"/>
              </w:rPr>
              <w:t>OFFER</w:t>
            </w:r>
          </w:p>
        </w:tc>
      </w:tr>
    </w:tbl>
    <w:p>
      <w:pPr>
        <w:spacing w:before="360"/>
        <w:pBdr>
          <w:bottom w:val="single" w:sz="4" w:space="1" w:color="DAD7D2"/>
        </w:pBdr>
      </w:pP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34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Date</w:t>
            </w:r>
          </w:p>
        </w:tc>
        <w:tc>
          <w:tcPr>
            <w:tcW w:type="dxa" w:w="230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Client</w:t>
            </w:r>
          </w:p>
        </w:tc>
        <w:tc>
          <w:tcPr>
            <w:tcW w:type="dxa" w:w="372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Client contact</w:t>
            </w:r>
          </w:p>
        </w:tc>
        <w:tc>
          <w:tcPr>
            <w:tcW w:type="dxa" w:w="188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Project number</w:t>
            </w:r>
          </w:p>
        </w:tc>
      </w:tr>
      <w:tr>
        <w:tc>
          <w:tcPr>
            <w:tcW w:type="dxa" w:w="134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{{date}}</w:t>
            </w:r>
          </w:p>
        </w:tc>
        <w:tc>
          <w:tcPr>
            <w:tcW w:type="dxa" w:w="230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{{client}}</w:t>
            </w:r>
          </w:p>
        </w:tc>
        <w:tc>
          <w:tcPr>
            <w:tcW w:type="dxa" w:w="372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{{client_contact}}</w:t>
            </w:r>
          </w:p>
        </w:tc>
        <w:tc>
          <w:tcPr>
            <w:tcW w:type="dxa" w:w="188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{{project_number}}</w:t>
            </w:r>
          </w:p>
        </w:tc>
      </w:tr>
      <w:tr>
        <w:tc>
          <w:tcPr>
            <w:tcW w:type="dxa" w:w="9240"/>
            <w:vAlign w:val="center"/>
            <w:gridSpan w:val="4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Project</w:t>
            </w:r>
          </w:p>
          <w:p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{{project}}</w:t>
            </w:r>
          </w:p>
        </w:tc>
      </w:tr>
    </w:tbl>
    <w:p>
      <w:pPr>
        <w:pBdr>
          <w:bottom w:val="single" w:sz="4" w:space="2" w:color="DAD7D2"/>
        </w:pBdr>
      </w:pPr>
      <w:r>
        <w:rPr>
          <w:rFonts w:ascii="Avenir Next" w:hAnsi="Avenir Next" w:eastAsia="Avenir Next"/>
          <w:b/>
          <w:color w:val="353031"/>
          <w:sz w:val="20"/>
        </w:rPr>
        <w:t>{{partnership_headline}}</w:t>
      </w:r>
    </w:p>
    <w:p>
      <w:pPr>
        <w:spacing w:after="100"/>
      </w:pPr>
      <w:r>
        <w:rPr>
          <w:rFonts w:ascii="Avenir Next" w:hAnsi="Avenir Next" w:eastAsia="Avenir Next"/>
          <w:b w:val="0"/>
          <w:color w:val="353031"/>
          <w:sz w:val="21"/>
        </w:rPr>
        <w:t>{{client_capability_statement}}</w:t>
      </w:r>
    </w:p>
    <w:p>
      <w:pPr>
        <w:spacing w:after="100"/>
      </w:pPr>
      <w:r>
        <w:rPr>
          <w:rFonts w:ascii="Avenir Next" w:hAnsi="Avenir Next" w:eastAsia="Avenir Next"/>
          <w:b w:val="0"/>
          <w:color w:val="353031"/>
          <w:sz w:val="21"/>
        </w:rPr>
        <w:t>NORC brings Nordic market understanding, strategic positioning, communication and trust-building.</w:t>
      </w:r>
    </w:p>
    <w:p>
      <w:pPr>
        <w:spacing w:after="100"/>
      </w:pPr>
      <w:r>
        <w:rPr>
          <w:rFonts w:ascii="Avenir Next" w:hAnsi="Avenir Next" w:eastAsia="Avenir Next"/>
          <w:b w:val="0"/>
          <w:color w:val="353031"/>
          <w:sz w:val="21"/>
        </w:rPr>
        <w:t>{{joint_ambition_statement}}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Engagement Principle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NORC is engaged to shape positioning, market entry and early-stage business development - not as a lead generation or sales execution provider.</w:t>
      </w:r>
    </w:p>
    <w:p>
      <w:pPr>
        <w:pStyle w:val="Heading1"/>
        <w:keepNext/>
      </w:pPr>
      <w:r>
        <w:rPr>
          <w:rFonts w:ascii="Avenir Next" w:hAnsi="Avenir Next" w:eastAsia="Avenir Next"/>
          <w:b/>
          <w:color w:val="353031"/>
          <w:sz w:val="23"/>
        </w:rPr>
        <w:t>Phase 1 - START (90 + 90 days)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Objective: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Establish a clear, credible and testable Nordic market position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Investment: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EUR 4,500 / month (approx. 50,000 SEK)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Duration: 3 + 3 months</w:t>
      </w:r>
    </w:p>
    <w:p>
      <w:pPr>
        <w:pStyle w:val="Heading2"/>
      </w:pPr>
      <w:r>
        <w:rPr>
          <w:rFonts w:ascii="Avenir Next" w:hAnsi="Avenir Next" w:eastAsia="Avenir Next"/>
          <w:b/>
          <w:color w:val="353031"/>
          <w:sz w:val="20"/>
        </w:rPr>
        <w:t>Scope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1. Alignment &amp; Market Hypothesis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Define ambition, priority markets and 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Establish initial market entry hypotheses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2. Nordic Positioning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Develop Nordic value proposition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Messaging hierarchy and narrative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Positioning adapted to Nordic decision logic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3. Focus Areas (2-3 entry points)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Recommended initial focus: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Industrial AI &amp; Digital Transformation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Digital Resilience &amp; Secure Platforms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Public Sector / Critical Infrastructure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Market Assets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Nordic presentation material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Core messaging and meeting narrative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Thought leadership angles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Pilot Outreach (limited)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Testing positioning in selected dialogues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Feedback and iteration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Out of 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Full-scale sales execution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Lead generation at scale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Campaign production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Local staffing or operational delivery</w:t>
      </w:r>
    </w:p>
    <w:p>
      <w:pPr>
        <w:pStyle w:val="Heading1"/>
        <w:keepNext/>
      </w:pPr>
      <w:r>
        <w:rPr>
          <w:rFonts w:ascii="Avenir Next" w:hAnsi="Avenir Next" w:eastAsia="Avenir Next"/>
          <w:b/>
          <w:color w:val="353031"/>
          <w:sz w:val="23"/>
        </w:rPr>
        <w:t>Phase 2 - SCALE (3-9 months)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Objective: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Convert positioning into active business opportunities</w:t>
      </w:r>
    </w:p>
    <w:p>
      <w:pPr>
        <w:pStyle w:val="Heading2"/>
      </w:pPr>
      <w:r>
        <w:rPr>
          <w:rFonts w:ascii="Avenir Next" w:hAnsi="Avenir Next" w:eastAsia="Avenir Next"/>
          <w:b/>
          <w:color w:val="353031"/>
          <w:sz w:val="20"/>
        </w:rPr>
        <w:t>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Go-to-market execution and prioritisation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Joint offer development (2-3 packaged offers)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Strategic meetings and opportunity shaping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Communication and thought leadership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Sales enablement and refinement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Investment (indicative)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EUR 7,000 - EUR 11,000 / month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Optional success-based component</w:t>
      </w:r>
    </w:p>
    <w:p>
      <w:pPr>
        <w:pStyle w:val="Heading1"/>
        <w:keepNext/>
      </w:pPr>
      <w:r>
        <w:rPr>
          <w:rFonts w:ascii="Avenir Next" w:hAnsi="Avenir Next" w:eastAsia="Avenir Next"/>
          <w:b/>
          <w:color w:val="353031"/>
          <w:sz w:val="23"/>
        </w:rPr>
        <w:t>Phase 3 - SUSTAIN (long-term)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Objective: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Establish a stable and scalable Nordic presence</w:t>
      </w:r>
    </w:p>
    <w:p>
      <w:pPr>
        <w:pStyle w:val="Heading2"/>
      </w:pPr>
      <w:r>
        <w:rPr>
          <w:rFonts w:ascii="Avenir Next" w:hAnsi="Avenir Next" w:eastAsia="Avenir Next"/>
          <w:b/>
          <w:color w:val="353031"/>
          <w:sz w:val="20"/>
        </w:rPr>
        <w:t>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Ongoing positioning and communication governance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Strategic account development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Market intelligence and adaptation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Long-term collaboration model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Investment (indicative)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From EUR 10,000 / month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Recommended Approach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We strongly recommend starting with a focused scope (2-3 entry points), rather than introducing the full portfolio, to ensure clarity, relevance and early traction in the Nordic market.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NORC - A Viable Solution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NORC helps organisations build communication resilience in complex environments by aligning strategy, leadership, brand, digital systems, and governance into one coherent operational capability.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Viable Solutions - Nordic Special Operations Company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Viable Solutions translates strategy into operational effect through structures, systems, and capabilities that enable organisations to operate with clarity, speed, and resilience over time.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Läs mer på viablesolutions.se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Contact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Anders Rasmusson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+46(0)707-266 098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contact@norc.agency</w:t>
      </w:r>
    </w:p>
    <w:sectPr w:rsidR="00FC693F" w:rsidRPr="0006063C" w:rsidSect="00034616">
      <w:footerReference w:type="default" r:id="rId10"/>
      <w:pgSz w:w="11906" w:h="16838"/>
      <w:pgMar w:top="1020" w:right="1332" w:bottom="964" w:left="133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venir Next" w:hAnsi="Avenir Next" w:eastAsia="Avenir Next"/>
        <w:b w:val="0"/>
        <w:color w:val="353031"/>
        <w:sz w:val="15"/>
      </w:rPr>
      <w:t>NORC / A VIABLE SOLUTION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venir Next" w:hAnsi="Avenir Next" w:eastAsia="Avenir Next"/>
      <w:color w:val="3530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venir Next" w:hAnsi="Avenir Next" w:eastAsia="Avenir Next"/>
      <w:b/>
      <w:bCs/>
      <w:color w:val="35303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venir Next" w:hAnsi="Avenir Next" w:eastAsia="Avenir Next"/>
      <w:b/>
      <w:bCs/>
      <w:color w:val="35303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venir Next" w:hAnsi="Avenir Next" w:eastAsia="Avenir Next"/>
      <w:b/>
      <w:bCs/>
      <w:color w:val="35303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venir Next" w:hAnsi="Avenir Next" w:eastAsia="Avenir Next"/>
      <w:b/>
      <w:color w:val="35303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