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642F9" w14:textId="77777777" w:rsidR="005D10C6" w:rsidRDefault="00DB5401" w:rsidP="009D3F3A">
      <w:pPr>
        <w:pStyle w:val="Figure"/>
        <w:tabs>
          <w:tab w:val="right" w:pos="9360"/>
        </w:tabs>
        <w:spacing w:before="0" w:after="0"/>
        <w:jc w:val="left"/>
        <w:rPr>
          <w:rStyle w:val="ProgramNameChar"/>
          <w:sz w:val="32"/>
          <w:szCs w:val="32"/>
        </w:rPr>
      </w:pPr>
      <w:r>
        <w:rPr>
          <w:rStyle w:val="ProgramNameChar"/>
          <w:sz w:val="32"/>
          <w:szCs w:val="32"/>
        </w:rPr>
        <w:t>Prepared for:</w:t>
      </w:r>
    </w:p>
    <w:p w14:paraId="6FB42771" w14:textId="77777777" w:rsidR="009D3F3A" w:rsidRDefault="009D3F3A" w:rsidP="009D3F3A">
      <w:pPr>
        <w:pStyle w:val="FigureCaption"/>
      </w:pPr>
    </w:p>
    <w:p w14:paraId="6D5A03D9" w14:textId="77777777" w:rsidR="009D3F3A" w:rsidRDefault="009D3F3A" w:rsidP="009D3F3A"/>
    <w:p w14:paraId="315287F4" w14:textId="77777777" w:rsidR="009D3F3A" w:rsidRDefault="009D3F3A" w:rsidP="009D3F3A"/>
    <w:p w14:paraId="463679AD" w14:textId="77777777" w:rsidR="009D3F3A" w:rsidRPr="009D3F3A" w:rsidRDefault="009D3F3A" w:rsidP="009D3F3A"/>
    <w:p w14:paraId="32E6BA1D" w14:textId="77777777" w:rsidR="005D10C6" w:rsidRDefault="000F4E56" w:rsidP="009D3F3A">
      <w:pPr>
        <w:pStyle w:val="CustomerProgram"/>
        <w:spacing w:before="0"/>
        <w:rPr>
          <w:rStyle w:val="ProgramNameChar"/>
          <w:b/>
          <w:color w:val="1F497D" w:themeColor="text2"/>
        </w:rPr>
      </w:pPr>
      <w:r>
        <w:rPr>
          <w:rStyle w:val="ProgramNameChar"/>
          <w:b/>
          <w:color w:val="1F497D" w:themeColor="text2"/>
        </w:rPr>
        <w:t>Centers for Disease Control and Prevention</w:t>
      </w:r>
    </w:p>
    <w:p w14:paraId="587EC353" w14:textId="77777777" w:rsidR="009D3F3A" w:rsidRDefault="009D3F3A" w:rsidP="009D3F3A">
      <w:pPr>
        <w:pStyle w:val="CustomerProgram"/>
        <w:spacing w:before="0"/>
        <w:rPr>
          <w:rStyle w:val="ProgramNameChar"/>
          <w:b/>
          <w:color w:val="1F497D" w:themeColor="text2"/>
        </w:rPr>
      </w:pPr>
    </w:p>
    <w:p w14:paraId="12182A5C" w14:textId="77777777" w:rsidR="009A6ED2" w:rsidRDefault="0005081A" w:rsidP="009D3F3A">
      <w:pPr>
        <w:pStyle w:val="CustomerProgram"/>
        <w:spacing w:before="0"/>
        <w:rPr>
          <w:rStyle w:val="ProgramNameChar"/>
          <w:b/>
          <w:sz w:val="36"/>
          <w:szCs w:val="36"/>
        </w:rPr>
      </w:pPr>
      <w:r w:rsidRPr="0005081A">
        <w:rPr>
          <w:rStyle w:val="ProgramNameChar"/>
          <w:b/>
          <w:sz w:val="36"/>
          <w:szCs w:val="36"/>
        </w:rPr>
        <w:t>Centers for Medicare &amp; Medicaid Services</w:t>
      </w:r>
      <w:r w:rsidRPr="0005081A" w:rsidDel="0005081A">
        <w:rPr>
          <w:rStyle w:val="ProgramNameChar"/>
          <w:b/>
          <w:sz w:val="36"/>
          <w:szCs w:val="36"/>
        </w:rPr>
        <w:t xml:space="preserve"> </w:t>
      </w:r>
      <w:r w:rsidR="00DB5401">
        <w:rPr>
          <w:rStyle w:val="ProgramNameChar"/>
          <w:b/>
          <w:sz w:val="36"/>
          <w:szCs w:val="36"/>
        </w:rPr>
        <w:t>Alliance to Modernize Healthcare</w:t>
      </w:r>
      <w:r w:rsidR="009A6ED2">
        <w:rPr>
          <w:rStyle w:val="ProgramNameChar"/>
          <w:b/>
          <w:sz w:val="36"/>
          <w:szCs w:val="36"/>
        </w:rPr>
        <w:t xml:space="preserve"> (Health FFRDC)</w:t>
      </w:r>
      <w:r>
        <w:rPr>
          <w:rStyle w:val="ProgramNameChar"/>
          <w:b/>
          <w:sz w:val="36"/>
          <w:szCs w:val="36"/>
        </w:rPr>
        <w:t xml:space="preserve"> </w:t>
      </w:r>
      <w:r w:rsidR="00AA3A3D">
        <w:rPr>
          <w:rStyle w:val="ProgramNameChar"/>
          <w:b/>
          <w:sz w:val="36"/>
          <w:szCs w:val="36"/>
        </w:rPr>
        <w:t xml:space="preserve">– </w:t>
      </w:r>
      <w:r w:rsidR="009A6ED2">
        <w:rPr>
          <w:rStyle w:val="ProgramNameChar"/>
          <w:b/>
          <w:sz w:val="36"/>
          <w:szCs w:val="36"/>
        </w:rPr>
        <w:t xml:space="preserve">A </w:t>
      </w:r>
      <w:r w:rsidR="00DB5401">
        <w:rPr>
          <w:rStyle w:val="ProgramNameChar"/>
          <w:b/>
          <w:sz w:val="36"/>
          <w:szCs w:val="36"/>
        </w:rPr>
        <w:t>Federally Funded Research and Development Center</w:t>
      </w:r>
    </w:p>
    <w:p w14:paraId="441DD1C8" w14:textId="77777777" w:rsidR="009D3F3A" w:rsidRDefault="009D3F3A" w:rsidP="009D3F3A">
      <w:pPr>
        <w:pStyle w:val="CustomerProgram"/>
        <w:spacing w:before="0"/>
        <w:rPr>
          <w:rStyle w:val="ProgramNameChar"/>
          <w:b/>
          <w:sz w:val="36"/>
          <w:szCs w:val="36"/>
        </w:rPr>
      </w:pPr>
    </w:p>
    <w:p w14:paraId="4705AEA3" w14:textId="77777777" w:rsidR="009D3F3A" w:rsidRDefault="009D3F3A" w:rsidP="009D3F3A">
      <w:pPr>
        <w:pStyle w:val="CustomerProgram"/>
        <w:spacing w:before="0"/>
        <w:rPr>
          <w:rStyle w:val="ProgramNameChar"/>
          <w:b/>
          <w:sz w:val="36"/>
          <w:szCs w:val="36"/>
        </w:rPr>
      </w:pPr>
    </w:p>
    <w:p w14:paraId="400979E8" w14:textId="77777777" w:rsidR="005D10C6" w:rsidRDefault="00451AC8" w:rsidP="009D3F3A">
      <w:pPr>
        <w:pStyle w:val="CustomerProgram"/>
        <w:spacing w:before="0"/>
      </w:pPr>
      <w:r>
        <w:t>Childhood Obesity Data Initiative</w:t>
      </w:r>
    </w:p>
    <w:p w14:paraId="46969930" w14:textId="77777777" w:rsidR="005D10C6" w:rsidRDefault="00DB5401" w:rsidP="009D3F3A">
      <w:pPr>
        <w:pStyle w:val="CustomerProgram"/>
        <w:spacing w:before="0"/>
        <w:rPr>
          <w:rStyle w:val="CustomerProgramChar"/>
          <w:b/>
          <w:bCs/>
        </w:rPr>
      </w:pPr>
      <w:r>
        <w:rPr>
          <w:rStyle w:val="CustomerProgramChar"/>
          <w:b/>
        </w:rPr>
        <w:t xml:space="preserve">Task Order No. </w:t>
      </w:r>
      <w:r w:rsidR="00827EEA" w:rsidRPr="360CF459">
        <w:rPr>
          <w:rStyle w:val="CustomerProgramChar"/>
          <w:b/>
          <w:bCs/>
        </w:rPr>
        <w:t>200-2016-F-89363</w:t>
      </w:r>
    </w:p>
    <w:p w14:paraId="1A7FB376" w14:textId="77777777" w:rsidR="009D3F3A" w:rsidRDefault="009D3F3A" w:rsidP="009D3F3A">
      <w:pPr>
        <w:pStyle w:val="CustomerProgram"/>
        <w:spacing w:before="0"/>
        <w:rPr>
          <w:rStyle w:val="CustomerProgramChar"/>
          <w:b/>
          <w:bCs/>
        </w:rPr>
      </w:pPr>
    </w:p>
    <w:p w14:paraId="3014745C" w14:textId="77777777" w:rsidR="009D3F3A" w:rsidRDefault="009D3F3A" w:rsidP="009D3F3A">
      <w:pPr>
        <w:pStyle w:val="CustomerProgram"/>
        <w:spacing w:before="0"/>
        <w:rPr>
          <w:rStyle w:val="CustomerProgramChar"/>
          <w:b/>
          <w:bCs/>
        </w:rPr>
      </w:pPr>
    </w:p>
    <w:p w14:paraId="1BC0B3A2" w14:textId="77777777" w:rsidR="009D3F3A" w:rsidRDefault="009D3F3A" w:rsidP="009D3F3A">
      <w:pPr>
        <w:pStyle w:val="CustomerProgram"/>
        <w:spacing w:before="0"/>
      </w:pPr>
    </w:p>
    <w:p w14:paraId="4AB808E5" w14:textId="77777777" w:rsidR="005D10C6" w:rsidRDefault="002E6F13" w:rsidP="009D3F3A">
      <w:pPr>
        <w:pStyle w:val="DocTitle"/>
        <w:spacing w:before="0" w:after="0"/>
        <w:ind w:left="0"/>
      </w:pPr>
      <w:r>
        <w:t xml:space="preserve">Prevalence Query </w:t>
      </w:r>
      <w:r w:rsidR="00451AC8" w:rsidRPr="00A212CB">
        <w:t>Implementation Guide</w:t>
      </w:r>
    </w:p>
    <w:p w14:paraId="113A1821" w14:textId="77777777" w:rsidR="009D3F3A" w:rsidRDefault="009D3F3A" w:rsidP="009D3F3A">
      <w:pPr>
        <w:pStyle w:val="DocTitle"/>
        <w:spacing w:before="0" w:after="0"/>
        <w:ind w:left="0"/>
      </w:pPr>
    </w:p>
    <w:p w14:paraId="7CBC62C8" w14:textId="77777777" w:rsidR="009D3F3A" w:rsidRDefault="009D3F3A" w:rsidP="009D3F3A">
      <w:pPr>
        <w:pStyle w:val="DocTitle"/>
        <w:spacing w:before="0" w:after="0"/>
        <w:ind w:left="0"/>
        <w:rPr>
          <w:rStyle w:val="CustomerProgramChar"/>
          <w:sz w:val="36"/>
        </w:rPr>
      </w:pPr>
    </w:p>
    <w:p w14:paraId="622686B8" w14:textId="77777777" w:rsidR="00895668" w:rsidRDefault="00895668" w:rsidP="009D3F3A">
      <w:pPr>
        <w:pStyle w:val="Draft1"/>
        <w:spacing w:before="0" w:after="0"/>
      </w:pPr>
      <w:r w:rsidRPr="00A212CB">
        <w:t>For the Denver, Colorado Pilot (2019–2020)</w:t>
      </w:r>
    </w:p>
    <w:p w14:paraId="7B0B289E" w14:textId="77777777" w:rsidR="005D10C6" w:rsidRDefault="00DB5401" w:rsidP="009D3F3A">
      <w:pPr>
        <w:pStyle w:val="Draft1"/>
        <w:spacing w:before="0" w:after="0"/>
      </w:pPr>
      <w:r>
        <w:t>Draft</w:t>
      </w:r>
    </w:p>
    <w:p w14:paraId="76222530" w14:textId="77777777" w:rsidR="005D10C6" w:rsidRDefault="00DB5401" w:rsidP="009D3F3A">
      <w:pPr>
        <w:pStyle w:val="Version"/>
        <w:spacing w:before="0" w:after="0"/>
      </w:pPr>
      <w:r>
        <w:t xml:space="preserve">Version </w:t>
      </w:r>
      <w:r w:rsidR="002E6F13">
        <w:t>DRAFT</w:t>
      </w:r>
    </w:p>
    <w:p w14:paraId="16F9A2F1" w14:textId="32BC2477" w:rsidR="005D10C6" w:rsidRDefault="001C5159" w:rsidP="009D3F3A">
      <w:pPr>
        <w:pStyle w:val="PubDate"/>
        <w:spacing w:before="0" w:after="0"/>
      </w:pPr>
      <w:r>
        <w:t>July 23</w:t>
      </w:r>
      <w:r w:rsidR="002E6F13">
        <w:t>, 2020</w:t>
      </w:r>
    </w:p>
    <w:p w14:paraId="01ECBED0" w14:textId="77777777" w:rsidR="009D3F3A" w:rsidRDefault="009D3F3A" w:rsidP="009D3F3A">
      <w:pPr>
        <w:pStyle w:val="PubDate"/>
        <w:spacing w:before="0" w:after="0"/>
      </w:pPr>
    </w:p>
    <w:p w14:paraId="7260DB12" w14:textId="77777777" w:rsidR="009D3F3A" w:rsidRDefault="009D3F3A" w:rsidP="009D3F3A">
      <w:pPr>
        <w:pStyle w:val="PubDate"/>
        <w:spacing w:before="0" w:after="0"/>
      </w:pPr>
    </w:p>
    <w:p w14:paraId="08C13383" w14:textId="77777777" w:rsidR="009D3F3A" w:rsidRDefault="009D3F3A" w:rsidP="009D3F3A">
      <w:pPr>
        <w:pStyle w:val="PubDate"/>
        <w:spacing w:before="0" w:after="0"/>
      </w:pPr>
    </w:p>
    <w:p w14:paraId="76E1D744" w14:textId="77777777" w:rsidR="005D10C6" w:rsidRDefault="00DB5401" w:rsidP="009D3F3A">
      <w:pPr>
        <w:pStyle w:val="Disclaimer"/>
        <w:spacing w:before="0" w:after="0"/>
      </w:pPr>
      <w:r>
        <w:t>The views, opinions, and/or findings contained in this report are those of The MITRE Corporation and should not be construed as official government position, policy, or decision unless so designated by other documentation.</w:t>
      </w:r>
      <w:r w:rsidR="00895668">
        <w:t xml:space="preserve"> </w:t>
      </w:r>
      <w:r w:rsidR="00A212CB" w:rsidRPr="00A212CB">
        <w:t>This guide may serve as a reference or framework for others implementing similar childhood obesity data solutions.</w:t>
      </w:r>
      <w:r w:rsidR="00AA3A3D">
        <w:t xml:space="preserve"> </w:t>
      </w:r>
      <w:r w:rsidR="00A212CB" w:rsidRPr="00A212CB">
        <w:t>However, the CODI Implementation Guide does not represent official views or guidance of CDC.</w:t>
      </w:r>
    </w:p>
    <w:p w14:paraId="510C5220" w14:textId="77777777" w:rsidR="005D10C6" w:rsidRDefault="00DB5401" w:rsidP="009D3F3A">
      <w:pPr>
        <w:pStyle w:val="Disclaimer"/>
        <w:spacing w:before="0" w:after="0"/>
      </w:pPr>
      <w:r>
        <w:t>© 20</w:t>
      </w:r>
      <w:r w:rsidR="003168AA">
        <w:t>20</w:t>
      </w:r>
      <w:r>
        <w:t>, The MITRE Corporation. All Rights Reserved.</w:t>
      </w:r>
    </w:p>
    <w:p w14:paraId="60B76A5E" w14:textId="77777777" w:rsidR="005D10C6" w:rsidRDefault="005D10C6" w:rsidP="009D3F3A">
      <w:pPr>
        <w:sectPr w:rsidR="005D10C6">
          <w:headerReference w:type="default" r:id="rId12"/>
          <w:footerReference w:type="default" r:id="rId13"/>
          <w:pgSz w:w="12240" w:h="15840" w:code="1"/>
          <w:pgMar w:top="1440" w:right="1440" w:bottom="1440" w:left="1440" w:header="504" w:footer="504" w:gutter="0"/>
          <w:pgNumType w:fmt="lowerRoman" w:start="1"/>
          <w:cols w:space="720"/>
          <w:titlePg/>
        </w:sectPr>
      </w:pPr>
    </w:p>
    <w:p w14:paraId="777882B2" w14:textId="77777777" w:rsidR="005D10C6" w:rsidRDefault="00DB5401" w:rsidP="009D3F3A">
      <w:pPr>
        <w:pStyle w:val="FrontMatterHeader"/>
        <w:spacing w:after="0"/>
      </w:pPr>
      <w:bookmarkStart w:id="0" w:name="_Toc510936870"/>
      <w:r>
        <w:lastRenderedPageBreak/>
        <w:t>Record of Changes</w:t>
      </w:r>
    </w:p>
    <w:p w14:paraId="653ACBBE" w14:textId="77777777" w:rsidR="009D3F3A" w:rsidRPr="009D3F3A" w:rsidRDefault="009D3F3A" w:rsidP="009D3F3A"/>
    <w:tbl>
      <w:tblPr>
        <w:tblW w:w="5000" w:type="pct"/>
        <w:tblInd w:w="-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date of publication, author/owner, and description of changes."/>
      </w:tblPr>
      <w:tblGrid>
        <w:gridCol w:w="1215"/>
        <w:gridCol w:w="2025"/>
        <w:gridCol w:w="2480"/>
        <w:gridCol w:w="3630"/>
      </w:tblGrid>
      <w:tr w:rsidR="005D10C6" w14:paraId="455BD3A3" w14:textId="77777777" w:rsidTr="000F50F7">
        <w:trPr>
          <w:cantSplit/>
          <w:trHeight w:val="432"/>
          <w:tblHeader/>
        </w:trPr>
        <w:tc>
          <w:tcPr>
            <w:tcW w:w="650"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BA71337" w14:textId="77777777" w:rsidR="005D10C6" w:rsidRDefault="00DB5401" w:rsidP="009D3F3A">
            <w:pPr>
              <w:pStyle w:val="TableColumnHeading"/>
              <w:spacing w:before="0" w:after="0"/>
            </w:pPr>
            <w:r>
              <w:t>Version</w:t>
            </w:r>
          </w:p>
        </w:tc>
        <w:tc>
          <w:tcPr>
            <w:tcW w:w="1083"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398DAA0" w14:textId="77777777" w:rsidR="005D10C6" w:rsidRDefault="00DB5401" w:rsidP="009D3F3A">
            <w:pPr>
              <w:pStyle w:val="TableColumnHeading"/>
              <w:spacing w:before="0" w:after="0"/>
            </w:pPr>
            <w:r>
              <w:t>Date</w:t>
            </w:r>
          </w:p>
        </w:tc>
        <w:tc>
          <w:tcPr>
            <w:tcW w:w="1326"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082E6D" w14:textId="77777777" w:rsidR="005D10C6" w:rsidRDefault="00DB5401" w:rsidP="009D3F3A">
            <w:pPr>
              <w:pStyle w:val="TableColumnHeading"/>
              <w:spacing w:before="0" w:after="0"/>
            </w:pPr>
            <w:r>
              <w:t>Author / Owner</w:t>
            </w:r>
          </w:p>
        </w:tc>
        <w:tc>
          <w:tcPr>
            <w:tcW w:w="194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36E9E0A4" w14:textId="77777777" w:rsidR="005D10C6" w:rsidRDefault="00DB5401" w:rsidP="009D3F3A">
            <w:pPr>
              <w:pStyle w:val="TableColumnHeading"/>
              <w:spacing w:before="0" w:after="0"/>
            </w:pPr>
            <w:r>
              <w:t>Description of Change</w:t>
            </w:r>
          </w:p>
        </w:tc>
      </w:tr>
      <w:tr w:rsidR="00880D1E" w14:paraId="4115664C" w14:textId="77777777" w:rsidTr="00FA1700">
        <w:trPr>
          <w:cantSplit/>
        </w:trPr>
        <w:tc>
          <w:tcPr>
            <w:tcW w:w="650" w:type="pct"/>
            <w:tcBorders>
              <w:top w:val="single" w:sz="4" w:space="0" w:color="auto"/>
              <w:left w:val="single" w:sz="4" w:space="0" w:color="000000"/>
              <w:bottom w:val="single" w:sz="4" w:space="0" w:color="auto"/>
              <w:right w:val="single" w:sz="4" w:space="0" w:color="000000"/>
            </w:tcBorders>
            <w:shd w:val="clear" w:color="000080" w:fill="FFFFFF"/>
          </w:tcPr>
          <w:p w14:paraId="6ED2E8CE" w14:textId="77777777" w:rsidR="00880D1E" w:rsidRDefault="00C03099" w:rsidP="009D3F3A">
            <w:pPr>
              <w:pStyle w:val="TableTextCenter"/>
              <w:spacing w:before="0" w:after="0"/>
            </w:pPr>
            <w:r>
              <w:t>DRAFT</w:t>
            </w:r>
          </w:p>
        </w:tc>
        <w:tc>
          <w:tcPr>
            <w:tcW w:w="1083" w:type="pct"/>
            <w:tcBorders>
              <w:top w:val="single" w:sz="4" w:space="0" w:color="auto"/>
              <w:left w:val="single" w:sz="4" w:space="0" w:color="000000"/>
              <w:bottom w:val="single" w:sz="4" w:space="0" w:color="auto"/>
              <w:right w:val="single" w:sz="4" w:space="0" w:color="000000"/>
            </w:tcBorders>
            <w:shd w:val="clear" w:color="000080" w:fill="FFFFFF"/>
          </w:tcPr>
          <w:p w14:paraId="2C3A29D0" w14:textId="2E09E649" w:rsidR="00880D1E" w:rsidRDefault="00483D86" w:rsidP="00A40DF0">
            <w:pPr>
              <w:pStyle w:val="TableText"/>
              <w:spacing w:before="0" w:after="0"/>
            </w:pPr>
            <w:r>
              <w:t xml:space="preserve">July </w:t>
            </w:r>
            <w:r w:rsidR="00A40DF0">
              <w:t>9</w:t>
            </w:r>
            <w:r w:rsidR="00C03099">
              <w:t>, 2020</w:t>
            </w:r>
          </w:p>
        </w:tc>
        <w:tc>
          <w:tcPr>
            <w:tcW w:w="1326" w:type="pct"/>
            <w:tcBorders>
              <w:top w:val="single" w:sz="4" w:space="0" w:color="auto"/>
              <w:left w:val="single" w:sz="4" w:space="0" w:color="000000"/>
              <w:bottom w:val="single" w:sz="4" w:space="0" w:color="auto"/>
              <w:right w:val="single" w:sz="4" w:space="0" w:color="000000"/>
            </w:tcBorders>
            <w:shd w:val="clear" w:color="000080" w:fill="FFFFFF"/>
          </w:tcPr>
          <w:p w14:paraId="4E62D785" w14:textId="77777777" w:rsidR="00880D1E" w:rsidRDefault="00C03099" w:rsidP="009D3F3A">
            <w:pPr>
              <w:pStyle w:val="TableText"/>
              <w:spacing w:before="0" w:after="0"/>
            </w:pPr>
            <w:r>
              <w:t>Erin Tanenbaum</w:t>
            </w:r>
            <w:r w:rsidR="00880D1E">
              <w:t xml:space="preserve"> / Health FFRDC</w:t>
            </w:r>
          </w:p>
        </w:tc>
        <w:tc>
          <w:tcPr>
            <w:tcW w:w="1941" w:type="pct"/>
            <w:tcBorders>
              <w:top w:val="single" w:sz="4" w:space="0" w:color="auto"/>
              <w:left w:val="single" w:sz="4" w:space="0" w:color="000000"/>
              <w:bottom w:val="single" w:sz="4" w:space="0" w:color="auto"/>
              <w:right w:val="single" w:sz="4" w:space="0" w:color="000000"/>
            </w:tcBorders>
            <w:shd w:val="clear" w:color="000080" w:fill="FFFFFF"/>
          </w:tcPr>
          <w:p w14:paraId="40F2E3AE" w14:textId="77777777" w:rsidR="00880D1E" w:rsidRDefault="000C66C0" w:rsidP="009D3F3A">
            <w:pPr>
              <w:pStyle w:val="TableText"/>
              <w:spacing w:before="0" w:after="0"/>
            </w:pPr>
            <w:r>
              <w:t>Initial Version</w:t>
            </w:r>
          </w:p>
        </w:tc>
      </w:tr>
      <w:tr w:rsidR="00BB361F" w14:paraId="19B34227" w14:textId="77777777" w:rsidTr="00FA1700">
        <w:trPr>
          <w:cantSplit/>
        </w:trPr>
        <w:tc>
          <w:tcPr>
            <w:tcW w:w="650" w:type="pct"/>
            <w:tcBorders>
              <w:top w:val="single" w:sz="4" w:space="0" w:color="auto"/>
              <w:left w:val="single" w:sz="4" w:space="0" w:color="000000"/>
              <w:bottom w:val="single" w:sz="4" w:space="0" w:color="auto"/>
              <w:right w:val="single" w:sz="4" w:space="0" w:color="000000"/>
            </w:tcBorders>
            <w:shd w:val="clear" w:color="000080" w:fill="FFFFFF"/>
          </w:tcPr>
          <w:p w14:paraId="6C00A48D" w14:textId="511D78CD" w:rsidR="00BB361F" w:rsidRDefault="001C5159" w:rsidP="009D3F3A">
            <w:pPr>
              <w:pStyle w:val="TableTextCenter"/>
              <w:spacing w:before="0" w:after="0"/>
            </w:pPr>
            <w:r>
              <w:t>DRAFT</w:t>
            </w:r>
          </w:p>
        </w:tc>
        <w:tc>
          <w:tcPr>
            <w:tcW w:w="1083" w:type="pct"/>
            <w:tcBorders>
              <w:top w:val="single" w:sz="4" w:space="0" w:color="auto"/>
              <w:left w:val="single" w:sz="4" w:space="0" w:color="000000"/>
              <w:bottom w:val="single" w:sz="4" w:space="0" w:color="auto"/>
              <w:right w:val="single" w:sz="4" w:space="0" w:color="000000"/>
            </w:tcBorders>
            <w:shd w:val="clear" w:color="000080" w:fill="FFFFFF"/>
          </w:tcPr>
          <w:p w14:paraId="6FB5A157" w14:textId="195EF387" w:rsidR="00BB361F" w:rsidRDefault="001C5159" w:rsidP="00A40DF0">
            <w:pPr>
              <w:pStyle w:val="TableText"/>
              <w:spacing w:before="0" w:after="0"/>
            </w:pPr>
            <w:r>
              <w:t>July 23</w:t>
            </w:r>
            <w:r w:rsidR="00BB361F">
              <w:t>, 2020</w:t>
            </w:r>
          </w:p>
        </w:tc>
        <w:tc>
          <w:tcPr>
            <w:tcW w:w="1326" w:type="pct"/>
            <w:tcBorders>
              <w:top w:val="single" w:sz="4" w:space="0" w:color="auto"/>
              <w:left w:val="single" w:sz="4" w:space="0" w:color="000000"/>
              <w:bottom w:val="single" w:sz="4" w:space="0" w:color="auto"/>
              <w:right w:val="single" w:sz="4" w:space="0" w:color="000000"/>
            </w:tcBorders>
            <w:shd w:val="clear" w:color="000080" w:fill="FFFFFF"/>
          </w:tcPr>
          <w:p w14:paraId="25FB8B01" w14:textId="4E3ED808" w:rsidR="00BB361F" w:rsidRDefault="00BB361F" w:rsidP="009D3F3A">
            <w:pPr>
              <w:pStyle w:val="TableText"/>
              <w:spacing w:before="0" w:after="0"/>
            </w:pPr>
            <w:r>
              <w:t>Erin Tanenbaum / Health FFRDC</w:t>
            </w:r>
          </w:p>
        </w:tc>
        <w:tc>
          <w:tcPr>
            <w:tcW w:w="1941" w:type="pct"/>
            <w:tcBorders>
              <w:top w:val="single" w:sz="4" w:space="0" w:color="auto"/>
              <w:left w:val="single" w:sz="4" w:space="0" w:color="000000"/>
              <w:bottom w:val="single" w:sz="4" w:space="0" w:color="auto"/>
              <w:right w:val="single" w:sz="4" w:space="0" w:color="000000"/>
            </w:tcBorders>
            <w:shd w:val="clear" w:color="000080" w:fill="FFFFFF"/>
          </w:tcPr>
          <w:p w14:paraId="3E107DB4" w14:textId="574B8BC1" w:rsidR="00BB361F" w:rsidRDefault="001C5159" w:rsidP="009D3F3A">
            <w:pPr>
              <w:pStyle w:val="TableText"/>
              <w:spacing w:before="0" w:after="0"/>
            </w:pPr>
            <w:r>
              <w:t>Edited</w:t>
            </w:r>
          </w:p>
        </w:tc>
      </w:tr>
    </w:tbl>
    <w:p w14:paraId="6D025483" w14:textId="77777777" w:rsidR="005D10C6" w:rsidRDefault="005D10C6" w:rsidP="009D3F3A"/>
    <w:p w14:paraId="0D711CCE" w14:textId="77777777" w:rsidR="005D10C6" w:rsidRDefault="005D10C6" w:rsidP="009D3F3A">
      <w:pPr>
        <w:sectPr w:rsidR="005D10C6">
          <w:headerReference w:type="first" r:id="rId14"/>
          <w:footerReference w:type="first" r:id="rId15"/>
          <w:pgSz w:w="12240" w:h="15840" w:code="1"/>
          <w:pgMar w:top="1440" w:right="1440" w:bottom="1440" w:left="1440" w:header="504" w:footer="504" w:gutter="0"/>
          <w:pgNumType w:fmt="lowerRoman" w:start="1"/>
          <w:cols w:space="720"/>
          <w:titlePg/>
        </w:sectPr>
      </w:pPr>
    </w:p>
    <w:bookmarkEnd w:id="0"/>
    <w:p w14:paraId="476ABE03" w14:textId="77777777" w:rsidR="005D10C6" w:rsidRDefault="00DB5401" w:rsidP="009D3F3A">
      <w:pPr>
        <w:pStyle w:val="FrontMatterHeader"/>
      </w:pPr>
      <w:r>
        <w:lastRenderedPageBreak/>
        <w:t>Table of Contents</w:t>
      </w:r>
    </w:p>
    <w:p w14:paraId="6199E98C" w14:textId="16DCD316" w:rsidR="00C16A7F" w:rsidRDefault="00DB5401">
      <w:pPr>
        <w:pStyle w:val="TOC1"/>
        <w:rPr>
          <w:rFonts w:asciiTheme="minorHAnsi" w:eastAsiaTheme="minorEastAsia" w:hAnsiTheme="minorHAnsi" w:cstheme="minorBidi"/>
          <w:b w:val="0"/>
          <w:sz w:val="22"/>
          <w:szCs w:val="22"/>
        </w:rPr>
      </w:pPr>
      <w:r w:rsidRPr="00942BD2">
        <w:rPr>
          <w:b w:val="0"/>
        </w:rPr>
        <w:fldChar w:fldCharType="begin"/>
      </w:r>
      <w:r w:rsidRPr="00942BD2">
        <w:rPr>
          <w:b w:val="0"/>
        </w:rPr>
        <w:instrText xml:space="preserve"> TOC \h \z \t "Heading 1,1,Heading 2,2,Heading 3,3,AppHeading 1,1,AppHeading 2,2,AppHeading 3,3,Back Matter Heading,1" </w:instrText>
      </w:r>
      <w:r w:rsidRPr="00942BD2">
        <w:rPr>
          <w:b w:val="0"/>
        </w:rPr>
        <w:fldChar w:fldCharType="separate"/>
      </w:r>
      <w:hyperlink w:anchor="_Toc46395229" w:history="1">
        <w:r w:rsidR="00C16A7F" w:rsidRPr="00AE42CB">
          <w:rPr>
            <w:rStyle w:val="Hyperlink"/>
          </w:rPr>
          <w:t>1.</w:t>
        </w:r>
        <w:r w:rsidR="00C16A7F">
          <w:rPr>
            <w:rFonts w:asciiTheme="minorHAnsi" w:eastAsiaTheme="minorEastAsia" w:hAnsiTheme="minorHAnsi" w:cstheme="minorBidi"/>
            <w:b w:val="0"/>
            <w:sz w:val="22"/>
            <w:szCs w:val="22"/>
          </w:rPr>
          <w:tab/>
        </w:r>
        <w:r w:rsidR="00C16A7F" w:rsidRPr="00AE42CB">
          <w:rPr>
            <w:rStyle w:val="Hyperlink"/>
          </w:rPr>
          <w:t>Introduction</w:t>
        </w:r>
        <w:r w:rsidR="00C16A7F">
          <w:rPr>
            <w:webHidden/>
          </w:rPr>
          <w:tab/>
        </w:r>
        <w:r w:rsidR="00C16A7F">
          <w:rPr>
            <w:webHidden/>
          </w:rPr>
          <w:fldChar w:fldCharType="begin"/>
        </w:r>
        <w:r w:rsidR="00C16A7F">
          <w:rPr>
            <w:webHidden/>
          </w:rPr>
          <w:instrText xml:space="preserve"> PAGEREF _Toc46395229 \h </w:instrText>
        </w:r>
        <w:r w:rsidR="00C16A7F">
          <w:rPr>
            <w:webHidden/>
          </w:rPr>
        </w:r>
        <w:r w:rsidR="00C16A7F">
          <w:rPr>
            <w:webHidden/>
          </w:rPr>
          <w:fldChar w:fldCharType="separate"/>
        </w:r>
        <w:r w:rsidR="00C16A7F">
          <w:rPr>
            <w:webHidden/>
          </w:rPr>
          <w:t>1</w:t>
        </w:r>
        <w:r w:rsidR="00C16A7F">
          <w:rPr>
            <w:webHidden/>
          </w:rPr>
          <w:fldChar w:fldCharType="end"/>
        </w:r>
      </w:hyperlink>
    </w:p>
    <w:p w14:paraId="68A19053" w14:textId="404D3126" w:rsidR="00C16A7F" w:rsidRDefault="00827BFE">
      <w:pPr>
        <w:pStyle w:val="TOC2"/>
        <w:rPr>
          <w:rFonts w:asciiTheme="minorHAnsi" w:eastAsiaTheme="minorEastAsia" w:hAnsiTheme="minorHAnsi" w:cstheme="minorBidi"/>
          <w:sz w:val="22"/>
          <w:szCs w:val="22"/>
        </w:rPr>
      </w:pPr>
      <w:hyperlink w:anchor="_Toc46395230" w:history="1">
        <w:r w:rsidR="00C16A7F" w:rsidRPr="00AE42CB">
          <w:rPr>
            <w:rStyle w:val="Hyperlink"/>
          </w:rPr>
          <w:t>1.1</w:t>
        </w:r>
        <w:r w:rsidR="00C16A7F">
          <w:rPr>
            <w:rFonts w:asciiTheme="minorHAnsi" w:eastAsiaTheme="minorEastAsia" w:hAnsiTheme="minorHAnsi" w:cstheme="minorBidi"/>
            <w:sz w:val="22"/>
            <w:szCs w:val="22"/>
          </w:rPr>
          <w:tab/>
        </w:r>
        <w:r w:rsidR="00C16A7F" w:rsidRPr="00AE42CB">
          <w:rPr>
            <w:rStyle w:val="Hyperlink"/>
          </w:rPr>
          <w:t>Background</w:t>
        </w:r>
        <w:r w:rsidR="00C16A7F">
          <w:rPr>
            <w:webHidden/>
          </w:rPr>
          <w:tab/>
        </w:r>
        <w:r w:rsidR="00C16A7F">
          <w:rPr>
            <w:webHidden/>
          </w:rPr>
          <w:fldChar w:fldCharType="begin"/>
        </w:r>
        <w:r w:rsidR="00C16A7F">
          <w:rPr>
            <w:webHidden/>
          </w:rPr>
          <w:instrText xml:space="preserve"> PAGEREF _Toc46395230 \h </w:instrText>
        </w:r>
        <w:r w:rsidR="00C16A7F">
          <w:rPr>
            <w:webHidden/>
          </w:rPr>
        </w:r>
        <w:r w:rsidR="00C16A7F">
          <w:rPr>
            <w:webHidden/>
          </w:rPr>
          <w:fldChar w:fldCharType="separate"/>
        </w:r>
        <w:r w:rsidR="00C16A7F">
          <w:rPr>
            <w:webHidden/>
          </w:rPr>
          <w:t>1</w:t>
        </w:r>
        <w:r w:rsidR="00C16A7F">
          <w:rPr>
            <w:webHidden/>
          </w:rPr>
          <w:fldChar w:fldCharType="end"/>
        </w:r>
      </w:hyperlink>
    </w:p>
    <w:p w14:paraId="192AB2A5" w14:textId="2F376121" w:rsidR="00C16A7F" w:rsidRDefault="00827BFE">
      <w:pPr>
        <w:pStyle w:val="TOC2"/>
        <w:rPr>
          <w:rFonts w:asciiTheme="minorHAnsi" w:eastAsiaTheme="minorEastAsia" w:hAnsiTheme="minorHAnsi" w:cstheme="minorBidi"/>
          <w:sz w:val="22"/>
          <w:szCs w:val="22"/>
        </w:rPr>
      </w:pPr>
      <w:hyperlink w:anchor="_Toc46395231" w:history="1">
        <w:r w:rsidR="00C16A7F" w:rsidRPr="00AE42CB">
          <w:rPr>
            <w:rStyle w:val="Hyperlink"/>
          </w:rPr>
          <w:t>1.2</w:t>
        </w:r>
        <w:r w:rsidR="00C16A7F">
          <w:rPr>
            <w:rFonts w:asciiTheme="minorHAnsi" w:eastAsiaTheme="minorEastAsia" w:hAnsiTheme="minorHAnsi" w:cstheme="minorBidi"/>
            <w:sz w:val="22"/>
            <w:szCs w:val="22"/>
          </w:rPr>
          <w:tab/>
        </w:r>
        <w:r w:rsidR="00C16A7F" w:rsidRPr="00AE42CB">
          <w:rPr>
            <w:rStyle w:val="Hyperlink"/>
          </w:rPr>
          <w:t>Purpose</w:t>
        </w:r>
        <w:r w:rsidR="00C16A7F">
          <w:rPr>
            <w:webHidden/>
          </w:rPr>
          <w:tab/>
        </w:r>
        <w:r w:rsidR="00C16A7F">
          <w:rPr>
            <w:webHidden/>
          </w:rPr>
          <w:fldChar w:fldCharType="begin"/>
        </w:r>
        <w:r w:rsidR="00C16A7F">
          <w:rPr>
            <w:webHidden/>
          </w:rPr>
          <w:instrText xml:space="preserve"> PAGEREF _Toc46395231 \h </w:instrText>
        </w:r>
        <w:r w:rsidR="00C16A7F">
          <w:rPr>
            <w:webHidden/>
          </w:rPr>
        </w:r>
        <w:r w:rsidR="00C16A7F">
          <w:rPr>
            <w:webHidden/>
          </w:rPr>
          <w:fldChar w:fldCharType="separate"/>
        </w:r>
        <w:r w:rsidR="00C16A7F">
          <w:rPr>
            <w:webHidden/>
          </w:rPr>
          <w:t>2</w:t>
        </w:r>
        <w:r w:rsidR="00C16A7F">
          <w:rPr>
            <w:webHidden/>
          </w:rPr>
          <w:fldChar w:fldCharType="end"/>
        </w:r>
      </w:hyperlink>
    </w:p>
    <w:p w14:paraId="16142C66" w14:textId="30DC2080" w:rsidR="00C16A7F" w:rsidRDefault="00827BFE">
      <w:pPr>
        <w:pStyle w:val="TOC2"/>
        <w:rPr>
          <w:rFonts w:asciiTheme="minorHAnsi" w:eastAsiaTheme="minorEastAsia" w:hAnsiTheme="minorHAnsi" w:cstheme="minorBidi"/>
          <w:sz w:val="22"/>
          <w:szCs w:val="22"/>
        </w:rPr>
      </w:pPr>
      <w:hyperlink w:anchor="_Toc46395232" w:history="1">
        <w:r w:rsidR="00C16A7F" w:rsidRPr="00AE42CB">
          <w:rPr>
            <w:rStyle w:val="Hyperlink"/>
          </w:rPr>
          <w:t>1.3</w:t>
        </w:r>
        <w:r w:rsidR="00C16A7F">
          <w:rPr>
            <w:rFonts w:asciiTheme="minorHAnsi" w:eastAsiaTheme="minorEastAsia" w:hAnsiTheme="minorHAnsi" w:cstheme="minorBidi"/>
            <w:sz w:val="22"/>
            <w:szCs w:val="22"/>
          </w:rPr>
          <w:tab/>
        </w:r>
        <w:r w:rsidR="00C16A7F" w:rsidRPr="00AE42CB">
          <w:rPr>
            <w:rStyle w:val="Hyperlink"/>
          </w:rPr>
          <w:t>Scope</w:t>
        </w:r>
        <w:r w:rsidR="00C16A7F">
          <w:rPr>
            <w:webHidden/>
          </w:rPr>
          <w:tab/>
        </w:r>
        <w:r w:rsidR="00C16A7F">
          <w:rPr>
            <w:webHidden/>
          </w:rPr>
          <w:fldChar w:fldCharType="begin"/>
        </w:r>
        <w:r w:rsidR="00C16A7F">
          <w:rPr>
            <w:webHidden/>
          </w:rPr>
          <w:instrText xml:space="preserve"> PAGEREF _Toc46395232 \h </w:instrText>
        </w:r>
        <w:r w:rsidR="00C16A7F">
          <w:rPr>
            <w:webHidden/>
          </w:rPr>
        </w:r>
        <w:r w:rsidR="00C16A7F">
          <w:rPr>
            <w:webHidden/>
          </w:rPr>
          <w:fldChar w:fldCharType="separate"/>
        </w:r>
        <w:r w:rsidR="00C16A7F">
          <w:rPr>
            <w:webHidden/>
          </w:rPr>
          <w:t>2</w:t>
        </w:r>
        <w:r w:rsidR="00C16A7F">
          <w:rPr>
            <w:webHidden/>
          </w:rPr>
          <w:fldChar w:fldCharType="end"/>
        </w:r>
      </w:hyperlink>
    </w:p>
    <w:p w14:paraId="1EF81156" w14:textId="7636A5A1" w:rsidR="00C16A7F" w:rsidRDefault="00827BFE">
      <w:pPr>
        <w:pStyle w:val="TOC2"/>
        <w:rPr>
          <w:rFonts w:asciiTheme="minorHAnsi" w:eastAsiaTheme="minorEastAsia" w:hAnsiTheme="minorHAnsi" w:cstheme="minorBidi"/>
          <w:sz w:val="22"/>
          <w:szCs w:val="22"/>
        </w:rPr>
      </w:pPr>
      <w:hyperlink w:anchor="_Toc46395233" w:history="1">
        <w:r w:rsidR="00C16A7F" w:rsidRPr="00AE42CB">
          <w:rPr>
            <w:rStyle w:val="Hyperlink"/>
          </w:rPr>
          <w:t>1.4</w:t>
        </w:r>
        <w:r w:rsidR="00C16A7F">
          <w:rPr>
            <w:rFonts w:asciiTheme="minorHAnsi" w:eastAsiaTheme="minorEastAsia" w:hAnsiTheme="minorHAnsi" w:cstheme="minorBidi"/>
            <w:sz w:val="22"/>
            <w:szCs w:val="22"/>
          </w:rPr>
          <w:tab/>
        </w:r>
        <w:r w:rsidR="00C16A7F" w:rsidRPr="00AE42CB">
          <w:rPr>
            <w:rStyle w:val="Hyperlink"/>
          </w:rPr>
          <w:t>Audience</w:t>
        </w:r>
        <w:r w:rsidR="00C16A7F">
          <w:rPr>
            <w:webHidden/>
          </w:rPr>
          <w:tab/>
        </w:r>
        <w:r w:rsidR="00C16A7F">
          <w:rPr>
            <w:webHidden/>
          </w:rPr>
          <w:fldChar w:fldCharType="begin"/>
        </w:r>
        <w:r w:rsidR="00C16A7F">
          <w:rPr>
            <w:webHidden/>
          </w:rPr>
          <w:instrText xml:space="preserve"> PAGEREF _Toc46395233 \h </w:instrText>
        </w:r>
        <w:r w:rsidR="00C16A7F">
          <w:rPr>
            <w:webHidden/>
          </w:rPr>
        </w:r>
        <w:r w:rsidR="00C16A7F">
          <w:rPr>
            <w:webHidden/>
          </w:rPr>
          <w:fldChar w:fldCharType="separate"/>
        </w:r>
        <w:r w:rsidR="00C16A7F">
          <w:rPr>
            <w:webHidden/>
          </w:rPr>
          <w:t>3</w:t>
        </w:r>
        <w:r w:rsidR="00C16A7F">
          <w:rPr>
            <w:webHidden/>
          </w:rPr>
          <w:fldChar w:fldCharType="end"/>
        </w:r>
      </w:hyperlink>
    </w:p>
    <w:p w14:paraId="2DBDC046" w14:textId="11C786EA" w:rsidR="00C16A7F" w:rsidRDefault="00827BFE">
      <w:pPr>
        <w:pStyle w:val="TOC2"/>
        <w:rPr>
          <w:rFonts w:asciiTheme="minorHAnsi" w:eastAsiaTheme="minorEastAsia" w:hAnsiTheme="minorHAnsi" w:cstheme="minorBidi"/>
          <w:sz w:val="22"/>
          <w:szCs w:val="22"/>
        </w:rPr>
      </w:pPr>
      <w:hyperlink w:anchor="_Toc46395234" w:history="1">
        <w:r w:rsidR="00C16A7F" w:rsidRPr="00AE42CB">
          <w:rPr>
            <w:rStyle w:val="Hyperlink"/>
          </w:rPr>
          <w:t>1.5</w:t>
        </w:r>
        <w:r w:rsidR="00C16A7F">
          <w:rPr>
            <w:rFonts w:asciiTheme="minorHAnsi" w:eastAsiaTheme="minorEastAsia" w:hAnsiTheme="minorHAnsi" w:cstheme="minorBidi"/>
            <w:sz w:val="22"/>
            <w:szCs w:val="22"/>
          </w:rPr>
          <w:tab/>
        </w:r>
        <w:r w:rsidR="00C16A7F" w:rsidRPr="00AE42CB">
          <w:rPr>
            <w:rStyle w:val="Hyperlink"/>
          </w:rPr>
          <w:t>Limitations</w:t>
        </w:r>
        <w:r w:rsidR="00C16A7F">
          <w:rPr>
            <w:webHidden/>
          </w:rPr>
          <w:tab/>
        </w:r>
        <w:r w:rsidR="00C16A7F">
          <w:rPr>
            <w:webHidden/>
          </w:rPr>
          <w:fldChar w:fldCharType="begin"/>
        </w:r>
        <w:r w:rsidR="00C16A7F">
          <w:rPr>
            <w:webHidden/>
          </w:rPr>
          <w:instrText xml:space="preserve"> PAGEREF _Toc46395234 \h </w:instrText>
        </w:r>
        <w:r w:rsidR="00C16A7F">
          <w:rPr>
            <w:webHidden/>
          </w:rPr>
        </w:r>
        <w:r w:rsidR="00C16A7F">
          <w:rPr>
            <w:webHidden/>
          </w:rPr>
          <w:fldChar w:fldCharType="separate"/>
        </w:r>
        <w:r w:rsidR="00C16A7F">
          <w:rPr>
            <w:webHidden/>
          </w:rPr>
          <w:t>3</w:t>
        </w:r>
        <w:r w:rsidR="00C16A7F">
          <w:rPr>
            <w:webHidden/>
          </w:rPr>
          <w:fldChar w:fldCharType="end"/>
        </w:r>
      </w:hyperlink>
    </w:p>
    <w:p w14:paraId="63860176" w14:textId="7FC099F9" w:rsidR="00C16A7F" w:rsidRDefault="00827BFE">
      <w:pPr>
        <w:pStyle w:val="TOC2"/>
        <w:rPr>
          <w:rFonts w:asciiTheme="minorHAnsi" w:eastAsiaTheme="minorEastAsia" w:hAnsiTheme="minorHAnsi" w:cstheme="minorBidi"/>
          <w:sz w:val="22"/>
          <w:szCs w:val="22"/>
        </w:rPr>
      </w:pPr>
      <w:hyperlink w:anchor="_Toc46395235" w:history="1">
        <w:r w:rsidR="00C16A7F" w:rsidRPr="00AE42CB">
          <w:rPr>
            <w:rStyle w:val="Hyperlink"/>
          </w:rPr>
          <w:t>1.6</w:t>
        </w:r>
        <w:r w:rsidR="00C16A7F">
          <w:rPr>
            <w:rFonts w:asciiTheme="minorHAnsi" w:eastAsiaTheme="minorEastAsia" w:hAnsiTheme="minorHAnsi" w:cstheme="minorBidi"/>
            <w:sz w:val="22"/>
            <w:szCs w:val="22"/>
          </w:rPr>
          <w:tab/>
        </w:r>
        <w:r w:rsidR="00C16A7F" w:rsidRPr="00AE42CB">
          <w:rPr>
            <w:rStyle w:val="Hyperlink"/>
          </w:rPr>
          <w:t>Document Organization</w:t>
        </w:r>
        <w:r w:rsidR="00C16A7F">
          <w:rPr>
            <w:webHidden/>
          </w:rPr>
          <w:tab/>
        </w:r>
        <w:r w:rsidR="00C16A7F">
          <w:rPr>
            <w:webHidden/>
          </w:rPr>
          <w:fldChar w:fldCharType="begin"/>
        </w:r>
        <w:r w:rsidR="00C16A7F">
          <w:rPr>
            <w:webHidden/>
          </w:rPr>
          <w:instrText xml:space="preserve"> PAGEREF _Toc46395235 \h </w:instrText>
        </w:r>
        <w:r w:rsidR="00C16A7F">
          <w:rPr>
            <w:webHidden/>
          </w:rPr>
        </w:r>
        <w:r w:rsidR="00C16A7F">
          <w:rPr>
            <w:webHidden/>
          </w:rPr>
          <w:fldChar w:fldCharType="separate"/>
        </w:r>
        <w:r w:rsidR="00C16A7F">
          <w:rPr>
            <w:webHidden/>
          </w:rPr>
          <w:t>4</w:t>
        </w:r>
        <w:r w:rsidR="00C16A7F">
          <w:rPr>
            <w:webHidden/>
          </w:rPr>
          <w:fldChar w:fldCharType="end"/>
        </w:r>
      </w:hyperlink>
    </w:p>
    <w:p w14:paraId="26F30960" w14:textId="29A4B6ED" w:rsidR="00C16A7F" w:rsidRDefault="00827BFE">
      <w:pPr>
        <w:pStyle w:val="TOC1"/>
        <w:rPr>
          <w:rFonts w:asciiTheme="minorHAnsi" w:eastAsiaTheme="minorEastAsia" w:hAnsiTheme="minorHAnsi" w:cstheme="minorBidi"/>
          <w:b w:val="0"/>
          <w:sz w:val="22"/>
          <w:szCs w:val="22"/>
        </w:rPr>
      </w:pPr>
      <w:hyperlink w:anchor="_Toc46395236" w:history="1">
        <w:r w:rsidR="00C16A7F" w:rsidRPr="00AE42CB">
          <w:rPr>
            <w:rStyle w:val="Hyperlink"/>
          </w:rPr>
          <w:t>2.</w:t>
        </w:r>
        <w:r w:rsidR="00C16A7F">
          <w:rPr>
            <w:rFonts w:asciiTheme="minorHAnsi" w:eastAsiaTheme="minorEastAsia" w:hAnsiTheme="minorHAnsi" w:cstheme="minorBidi"/>
            <w:b w:val="0"/>
            <w:sz w:val="22"/>
            <w:szCs w:val="22"/>
          </w:rPr>
          <w:tab/>
        </w:r>
        <w:r w:rsidR="00C16A7F" w:rsidRPr="00AE42CB">
          <w:rPr>
            <w:rStyle w:val="Hyperlink"/>
          </w:rPr>
          <w:t>Data Pre-processing</w:t>
        </w:r>
        <w:r w:rsidR="00C16A7F">
          <w:rPr>
            <w:webHidden/>
          </w:rPr>
          <w:tab/>
        </w:r>
        <w:r w:rsidR="00C16A7F">
          <w:rPr>
            <w:webHidden/>
          </w:rPr>
          <w:fldChar w:fldCharType="begin"/>
        </w:r>
        <w:r w:rsidR="00C16A7F">
          <w:rPr>
            <w:webHidden/>
          </w:rPr>
          <w:instrText xml:space="preserve"> PAGEREF _Toc46395236 \h </w:instrText>
        </w:r>
        <w:r w:rsidR="00C16A7F">
          <w:rPr>
            <w:webHidden/>
          </w:rPr>
        </w:r>
        <w:r w:rsidR="00C16A7F">
          <w:rPr>
            <w:webHidden/>
          </w:rPr>
          <w:fldChar w:fldCharType="separate"/>
        </w:r>
        <w:r w:rsidR="00C16A7F">
          <w:rPr>
            <w:webHidden/>
          </w:rPr>
          <w:t>5</w:t>
        </w:r>
        <w:r w:rsidR="00C16A7F">
          <w:rPr>
            <w:webHidden/>
          </w:rPr>
          <w:fldChar w:fldCharType="end"/>
        </w:r>
      </w:hyperlink>
    </w:p>
    <w:p w14:paraId="54BB64DE" w14:textId="31303A42" w:rsidR="00C16A7F" w:rsidRDefault="00827BFE">
      <w:pPr>
        <w:pStyle w:val="TOC2"/>
        <w:rPr>
          <w:rFonts w:asciiTheme="minorHAnsi" w:eastAsiaTheme="minorEastAsia" w:hAnsiTheme="minorHAnsi" w:cstheme="minorBidi"/>
          <w:sz w:val="22"/>
          <w:szCs w:val="22"/>
        </w:rPr>
      </w:pPr>
      <w:hyperlink w:anchor="_Toc46395237" w:history="1">
        <w:r w:rsidR="00C16A7F" w:rsidRPr="00AE42CB">
          <w:rPr>
            <w:rStyle w:val="Hyperlink"/>
          </w:rPr>
          <w:t>2.1</w:t>
        </w:r>
        <w:r w:rsidR="00C16A7F">
          <w:rPr>
            <w:rFonts w:asciiTheme="minorHAnsi" w:eastAsiaTheme="minorEastAsia" w:hAnsiTheme="minorHAnsi" w:cstheme="minorBidi"/>
            <w:sz w:val="22"/>
            <w:szCs w:val="22"/>
          </w:rPr>
          <w:tab/>
        </w:r>
        <w:r w:rsidR="00C16A7F" w:rsidRPr="00AE42CB">
          <w:rPr>
            <w:rStyle w:val="Hyperlink"/>
          </w:rPr>
          <w:t>Growthcleanr</w:t>
        </w:r>
        <w:r w:rsidR="00C16A7F">
          <w:rPr>
            <w:webHidden/>
          </w:rPr>
          <w:tab/>
        </w:r>
        <w:r w:rsidR="00C16A7F">
          <w:rPr>
            <w:webHidden/>
          </w:rPr>
          <w:fldChar w:fldCharType="begin"/>
        </w:r>
        <w:r w:rsidR="00C16A7F">
          <w:rPr>
            <w:webHidden/>
          </w:rPr>
          <w:instrText xml:space="preserve"> PAGEREF _Toc46395237 \h </w:instrText>
        </w:r>
        <w:r w:rsidR="00C16A7F">
          <w:rPr>
            <w:webHidden/>
          </w:rPr>
        </w:r>
        <w:r w:rsidR="00C16A7F">
          <w:rPr>
            <w:webHidden/>
          </w:rPr>
          <w:fldChar w:fldCharType="separate"/>
        </w:r>
        <w:r w:rsidR="00C16A7F">
          <w:rPr>
            <w:webHidden/>
          </w:rPr>
          <w:t>5</w:t>
        </w:r>
        <w:r w:rsidR="00C16A7F">
          <w:rPr>
            <w:webHidden/>
          </w:rPr>
          <w:fldChar w:fldCharType="end"/>
        </w:r>
      </w:hyperlink>
    </w:p>
    <w:p w14:paraId="34196CF2" w14:textId="49F75F6E" w:rsidR="00C16A7F" w:rsidRDefault="00827BFE">
      <w:pPr>
        <w:pStyle w:val="TOC2"/>
        <w:rPr>
          <w:rFonts w:asciiTheme="minorHAnsi" w:eastAsiaTheme="minorEastAsia" w:hAnsiTheme="minorHAnsi" w:cstheme="minorBidi"/>
          <w:sz w:val="22"/>
          <w:szCs w:val="22"/>
        </w:rPr>
      </w:pPr>
      <w:hyperlink w:anchor="_Toc46395238" w:history="1">
        <w:r w:rsidR="00C16A7F" w:rsidRPr="00AE42CB">
          <w:rPr>
            <w:rStyle w:val="Hyperlink"/>
          </w:rPr>
          <w:t>2.2</w:t>
        </w:r>
        <w:r w:rsidR="00C16A7F">
          <w:rPr>
            <w:rFonts w:asciiTheme="minorHAnsi" w:eastAsiaTheme="minorEastAsia" w:hAnsiTheme="minorHAnsi" w:cstheme="minorBidi"/>
            <w:sz w:val="22"/>
            <w:szCs w:val="22"/>
          </w:rPr>
          <w:tab/>
        </w:r>
        <w:r w:rsidR="00C16A7F" w:rsidRPr="00AE42CB">
          <w:rPr>
            <w:rStyle w:val="Hyperlink"/>
          </w:rPr>
          <w:t>Pre-processing CODI-PQ Algorithm</w:t>
        </w:r>
        <w:r w:rsidR="00C16A7F">
          <w:rPr>
            <w:webHidden/>
          </w:rPr>
          <w:tab/>
        </w:r>
        <w:r w:rsidR="00C16A7F">
          <w:rPr>
            <w:webHidden/>
          </w:rPr>
          <w:fldChar w:fldCharType="begin"/>
        </w:r>
        <w:r w:rsidR="00C16A7F">
          <w:rPr>
            <w:webHidden/>
          </w:rPr>
          <w:instrText xml:space="preserve"> PAGEREF _Toc46395238 \h </w:instrText>
        </w:r>
        <w:r w:rsidR="00C16A7F">
          <w:rPr>
            <w:webHidden/>
          </w:rPr>
        </w:r>
        <w:r w:rsidR="00C16A7F">
          <w:rPr>
            <w:webHidden/>
          </w:rPr>
          <w:fldChar w:fldCharType="separate"/>
        </w:r>
        <w:r w:rsidR="00C16A7F">
          <w:rPr>
            <w:webHidden/>
          </w:rPr>
          <w:t>5</w:t>
        </w:r>
        <w:r w:rsidR="00C16A7F">
          <w:rPr>
            <w:webHidden/>
          </w:rPr>
          <w:fldChar w:fldCharType="end"/>
        </w:r>
      </w:hyperlink>
    </w:p>
    <w:p w14:paraId="4E7540A7" w14:textId="3BB7F5EE" w:rsidR="00C16A7F" w:rsidRDefault="00827BFE">
      <w:pPr>
        <w:pStyle w:val="TOC3"/>
        <w:rPr>
          <w:rFonts w:asciiTheme="minorHAnsi" w:eastAsiaTheme="minorEastAsia" w:hAnsiTheme="minorHAnsi" w:cstheme="minorBidi"/>
          <w:noProof/>
          <w:sz w:val="22"/>
          <w:szCs w:val="22"/>
        </w:rPr>
      </w:pPr>
      <w:hyperlink w:anchor="_Toc46395239" w:history="1">
        <w:r w:rsidR="00C16A7F" w:rsidRPr="00AE42CB">
          <w:rPr>
            <w:rStyle w:val="Hyperlink"/>
            <w:noProof/>
          </w:rPr>
          <w:t>2.2.1</w:t>
        </w:r>
        <w:r w:rsidR="00C16A7F">
          <w:rPr>
            <w:rFonts w:asciiTheme="minorHAnsi" w:eastAsiaTheme="minorEastAsia" w:hAnsiTheme="minorHAnsi" w:cstheme="minorBidi"/>
            <w:noProof/>
            <w:sz w:val="22"/>
            <w:szCs w:val="22"/>
          </w:rPr>
          <w:tab/>
        </w:r>
        <w:r w:rsidR="00C16A7F" w:rsidRPr="00AE42CB">
          <w:rPr>
            <w:rStyle w:val="Hyperlink"/>
            <w:noProof/>
          </w:rPr>
          <w:t>American Community Survey Data</w:t>
        </w:r>
        <w:r w:rsidR="00C16A7F">
          <w:rPr>
            <w:noProof/>
            <w:webHidden/>
          </w:rPr>
          <w:tab/>
        </w:r>
        <w:r w:rsidR="00C16A7F">
          <w:rPr>
            <w:noProof/>
            <w:webHidden/>
          </w:rPr>
          <w:fldChar w:fldCharType="begin"/>
        </w:r>
        <w:r w:rsidR="00C16A7F">
          <w:rPr>
            <w:noProof/>
            <w:webHidden/>
          </w:rPr>
          <w:instrText xml:space="preserve"> PAGEREF _Toc46395239 \h </w:instrText>
        </w:r>
        <w:r w:rsidR="00C16A7F">
          <w:rPr>
            <w:noProof/>
            <w:webHidden/>
          </w:rPr>
        </w:r>
        <w:r w:rsidR="00C16A7F">
          <w:rPr>
            <w:noProof/>
            <w:webHidden/>
          </w:rPr>
          <w:fldChar w:fldCharType="separate"/>
        </w:r>
        <w:r w:rsidR="00C16A7F">
          <w:rPr>
            <w:noProof/>
            <w:webHidden/>
          </w:rPr>
          <w:t>5</w:t>
        </w:r>
        <w:r w:rsidR="00C16A7F">
          <w:rPr>
            <w:noProof/>
            <w:webHidden/>
          </w:rPr>
          <w:fldChar w:fldCharType="end"/>
        </w:r>
      </w:hyperlink>
    </w:p>
    <w:p w14:paraId="033E1E1D" w14:textId="25C1EFF5" w:rsidR="00C16A7F" w:rsidRDefault="00827BFE">
      <w:pPr>
        <w:pStyle w:val="TOC3"/>
        <w:rPr>
          <w:rFonts w:asciiTheme="minorHAnsi" w:eastAsiaTheme="minorEastAsia" w:hAnsiTheme="minorHAnsi" w:cstheme="minorBidi"/>
          <w:noProof/>
          <w:sz w:val="22"/>
          <w:szCs w:val="22"/>
        </w:rPr>
      </w:pPr>
      <w:hyperlink w:anchor="_Toc46395240" w:history="1">
        <w:r w:rsidR="00C16A7F" w:rsidRPr="00AE42CB">
          <w:rPr>
            <w:rStyle w:val="Hyperlink"/>
            <w:noProof/>
          </w:rPr>
          <w:t>2.2.2</w:t>
        </w:r>
        <w:r w:rsidR="00C16A7F">
          <w:rPr>
            <w:rFonts w:asciiTheme="minorHAnsi" w:eastAsiaTheme="minorEastAsia" w:hAnsiTheme="minorHAnsi" w:cstheme="minorBidi"/>
            <w:noProof/>
            <w:sz w:val="22"/>
            <w:szCs w:val="22"/>
          </w:rPr>
          <w:tab/>
        </w:r>
        <w:r w:rsidR="00C16A7F" w:rsidRPr="00AE42CB">
          <w:rPr>
            <w:rStyle w:val="Hyperlink"/>
            <w:noProof/>
          </w:rPr>
          <w:t>EHR Data</w:t>
        </w:r>
        <w:r w:rsidR="00C16A7F">
          <w:rPr>
            <w:noProof/>
            <w:webHidden/>
          </w:rPr>
          <w:tab/>
        </w:r>
        <w:r w:rsidR="00C16A7F">
          <w:rPr>
            <w:noProof/>
            <w:webHidden/>
          </w:rPr>
          <w:fldChar w:fldCharType="begin"/>
        </w:r>
        <w:r w:rsidR="00C16A7F">
          <w:rPr>
            <w:noProof/>
            <w:webHidden/>
          </w:rPr>
          <w:instrText xml:space="preserve"> PAGEREF _Toc46395240 \h </w:instrText>
        </w:r>
        <w:r w:rsidR="00C16A7F">
          <w:rPr>
            <w:noProof/>
            <w:webHidden/>
          </w:rPr>
        </w:r>
        <w:r w:rsidR="00C16A7F">
          <w:rPr>
            <w:noProof/>
            <w:webHidden/>
          </w:rPr>
          <w:fldChar w:fldCharType="separate"/>
        </w:r>
        <w:r w:rsidR="00C16A7F">
          <w:rPr>
            <w:noProof/>
            <w:webHidden/>
          </w:rPr>
          <w:t>6</w:t>
        </w:r>
        <w:r w:rsidR="00C16A7F">
          <w:rPr>
            <w:noProof/>
            <w:webHidden/>
          </w:rPr>
          <w:fldChar w:fldCharType="end"/>
        </w:r>
      </w:hyperlink>
    </w:p>
    <w:p w14:paraId="0115F10A" w14:textId="663CD50D" w:rsidR="00C16A7F" w:rsidRDefault="00827BFE">
      <w:pPr>
        <w:pStyle w:val="TOC1"/>
        <w:rPr>
          <w:rFonts w:asciiTheme="minorHAnsi" w:eastAsiaTheme="minorEastAsia" w:hAnsiTheme="minorHAnsi" w:cstheme="minorBidi"/>
          <w:b w:val="0"/>
          <w:sz w:val="22"/>
          <w:szCs w:val="22"/>
        </w:rPr>
      </w:pPr>
      <w:hyperlink w:anchor="_Toc46395241" w:history="1">
        <w:r w:rsidR="00C16A7F" w:rsidRPr="00AE42CB">
          <w:rPr>
            <w:rStyle w:val="Hyperlink"/>
          </w:rPr>
          <w:t>3.</w:t>
        </w:r>
        <w:r w:rsidR="00C16A7F">
          <w:rPr>
            <w:rFonts w:asciiTheme="minorHAnsi" w:eastAsiaTheme="minorEastAsia" w:hAnsiTheme="minorHAnsi" w:cstheme="minorBidi"/>
            <w:b w:val="0"/>
            <w:sz w:val="22"/>
            <w:szCs w:val="22"/>
          </w:rPr>
          <w:tab/>
        </w:r>
        <w:r w:rsidR="00C16A7F" w:rsidRPr="00AE42CB">
          <w:rPr>
            <w:rStyle w:val="Hyperlink"/>
          </w:rPr>
          <w:t>Prevalence Estimation Overview</w:t>
        </w:r>
        <w:r w:rsidR="00C16A7F">
          <w:rPr>
            <w:webHidden/>
          </w:rPr>
          <w:tab/>
        </w:r>
        <w:r w:rsidR="00C16A7F">
          <w:rPr>
            <w:webHidden/>
          </w:rPr>
          <w:fldChar w:fldCharType="begin"/>
        </w:r>
        <w:r w:rsidR="00C16A7F">
          <w:rPr>
            <w:webHidden/>
          </w:rPr>
          <w:instrText xml:space="preserve"> PAGEREF _Toc46395241 \h </w:instrText>
        </w:r>
        <w:r w:rsidR="00C16A7F">
          <w:rPr>
            <w:webHidden/>
          </w:rPr>
        </w:r>
        <w:r w:rsidR="00C16A7F">
          <w:rPr>
            <w:webHidden/>
          </w:rPr>
          <w:fldChar w:fldCharType="separate"/>
        </w:r>
        <w:r w:rsidR="00C16A7F">
          <w:rPr>
            <w:webHidden/>
          </w:rPr>
          <w:t>7</w:t>
        </w:r>
        <w:r w:rsidR="00C16A7F">
          <w:rPr>
            <w:webHidden/>
          </w:rPr>
          <w:fldChar w:fldCharType="end"/>
        </w:r>
      </w:hyperlink>
    </w:p>
    <w:p w14:paraId="41CCD072" w14:textId="2BDA1518" w:rsidR="00C16A7F" w:rsidRDefault="00827BFE">
      <w:pPr>
        <w:pStyle w:val="TOC2"/>
        <w:rPr>
          <w:rFonts w:asciiTheme="minorHAnsi" w:eastAsiaTheme="minorEastAsia" w:hAnsiTheme="minorHAnsi" w:cstheme="minorBidi"/>
          <w:sz w:val="22"/>
          <w:szCs w:val="22"/>
        </w:rPr>
      </w:pPr>
      <w:hyperlink w:anchor="_Toc46395242" w:history="1">
        <w:r w:rsidR="00C16A7F" w:rsidRPr="00AE42CB">
          <w:rPr>
            <w:rStyle w:val="Hyperlink"/>
          </w:rPr>
          <w:t>3.1</w:t>
        </w:r>
        <w:r w:rsidR="00C16A7F">
          <w:rPr>
            <w:rFonts w:asciiTheme="minorHAnsi" w:eastAsiaTheme="minorEastAsia" w:hAnsiTheme="minorHAnsi" w:cstheme="minorBidi"/>
            <w:sz w:val="22"/>
            <w:szCs w:val="22"/>
          </w:rPr>
          <w:tab/>
        </w:r>
        <w:r w:rsidR="00C16A7F" w:rsidRPr="00AE42CB">
          <w:rPr>
            <w:rStyle w:val="Hyperlink"/>
          </w:rPr>
          <w:t>Estimate Outputs</w:t>
        </w:r>
        <w:r w:rsidR="00C16A7F">
          <w:rPr>
            <w:webHidden/>
          </w:rPr>
          <w:tab/>
        </w:r>
        <w:r w:rsidR="00C16A7F">
          <w:rPr>
            <w:webHidden/>
          </w:rPr>
          <w:fldChar w:fldCharType="begin"/>
        </w:r>
        <w:r w:rsidR="00C16A7F">
          <w:rPr>
            <w:webHidden/>
          </w:rPr>
          <w:instrText xml:space="preserve"> PAGEREF _Toc46395242 \h </w:instrText>
        </w:r>
        <w:r w:rsidR="00C16A7F">
          <w:rPr>
            <w:webHidden/>
          </w:rPr>
        </w:r>
        <w:r w:rsidR="00C16A7F">
          <w:rPr>
            <w:webHidden/>
          </w:rPr>
          <w:fldChar w:fldCharType="separate"/>
        </w:r>
        <w:r w:rsidR="00C16A7F">
          <w:rPr>
            <w:webHidden/>
          </w:rPr>
          <w:t>7</w:t>
        </w:r>
        <w:r w:rsidR="00C16A7F">
          <w:rPr>
            <w:webHidden/>
          </w:rPr>
          <w:fldChar w:fldCharType="end"/>
        </w:r>
      </w:hyperlink>
    </w:p>
    <w:p w14:paraId="69657EA5" w14:textId="718BBEBF" w:rsidR="00C16A7F" w:rsidRDefault="00827BFE">
      <w:pPr>
        <w:pStyle w:val="TOC2"/>
        <w:rPr>
          <w:rFonts w:asciiTheme="minorHAnsi" w:eastAsiaTheme="minorEastAsia" w:hAnsiTheme="minorHAnsi" w:cstheme="minorBidi"/>
          <w:sz w:val="22"/>
          <w:szCs w:val="22"/>
        </w:rPr>
      </w:pPr>
      <w:hyperlink w:anchor="_Toc46395243" w:history="1">
        <w:r w:rsidR="00C16A7F" w:rsidRPr="00AE42CB">
          <w:rPr>
            <w:rStyle w:val="Hyperlink"/>
          </w:rPr>
          <w:t>3.2</w:t>
        </w:r>
        <w:r w:rsidR="00C16A7F">
          <w:rPr>
            <w:rFonts w:asciiTheme="minorHAnsi" w:eastAsiaTheme="minorEastAsia" w:hAnsiTheme="minorHAnsi" w:cstheme="minorBidi"/>
            <w:sz w:val="22"/>
            <w:szCs w:val="22"/>
          </w:rPr>
          <w:tab/>
        </w:r>
        <w:r w:rsidR="00C16A7F" w:rsidRPr="00AE42CB">
          <w:rPr>
            <w:rStyle w:val="Hyperlink"/>
          </w:rPr>
          <w:t>Importance of Statistical Weights</w:t>
        </w:r>
        <w:r w:rsidR="00C16A7F">
          <w:rPr>
            <w:webHidden/>
          </w:rPr>
          <w:tab/>
        </w:r>
        <w:r w:rsidR="00C16A7F">
          <w:rPr>
            <w:webHidden/>
          </w:rPr>
          <w:fldChar w:fldCharType="begin"/>
        </w:r>
        <w:r w:rsidR="00C16A7F">
          <w:rPr>
            <w:webHidden/>
          </w:rPr>
          <w:instrText xml:space="preserve"> PAGEREF _Toc46395243 \h </w:instrText>
        </w:r>
        <w:r w:rsidR="00C16A7F">
          <w:rPr>
            <w:webHidden/>
          </w:rPr>
        </w:r>
        <w:r w:rsidR="00C16A7F">
          <w:rPr>
            <w:webHidden/>
          </w:rPr>
          <w:fldChar w:fldCharType="separate"/>
        </w:r>
        <w:r w:rsidR="00C16A7F">
          <w:rPr>
            <w:webHidden/>
          </w:rPr>
          <w:t>7</w:t>
        </w:r>
        <w:r w:rsidR="00C16A7F">
          <w:rPr>
            <w:webHidden/>
          </w:rPr>
          <w:fldChar w:fldCharType="end"/>
        </w:r>
      </w:hyperlink>
    </w:p>
    <w:p w14:paraId="75B879D9" w14:textId="7D38D7FA" w:rsidR="00C16A7F" w:rsidRDefault="00827BFE">
      <w:pPr>
        <w:pStyle w:val="TOC2"/>
        <w:rPr>
          <w:rFonts w:asciiTheme="minorHAnsi" w:eastAsiaTheme="minorEastAsia" w:hAnsiTheme="minorHAnsi" w:cstheme="minorBidi"/>
          <w:sz w:val="22"/>
          <w:szCs w:val="22"/>
        </w:rPr>
      </w:pPr>
      <w:hyperlink w:anchor="_Toc46395244" w:history="1">
        <w:r w:rsidR="00C16A7F" w:rsidRPr="00AE42CB">
          <w:rPr>
            <w:rStyle w:val="Hyperlink"/>
          </w:rPr>
          <w:t>3.3</w:t>
        </w:r>
        <w:r w:rsidR="00C16A7F">
          <w:rPr>
            <w:rFonts w:asciiTheme="minorHAnsi" w:eastAsiaTheme="minorEastAsia" w:hAnsiTheme="minorHAnsi" w:cstheme="minorBidi"/>
            <w:sz w:val="22"/>
            <w:szCs w:val="22"/>
          </w:rPr>
          <w:tab/>
        </w:r>
        <w:r w:rsidR="00C16A7F" w:rsidRPr="00AE42CB">
          <w:rPr>
            <w:rStyle w:val="Hyperlink"/>
          </w:rPr>
          <w:t>Frequency with Which Processes Can and Should Be Run</w:t>
        </w:r>
        <w:r w:rsidR="00C16A7F">
          <w:rPr>
            <w:webHidden/>
          </w:rPr>
          <w:tab/>
        </w:r>
        <w:r w:rsidR="00C16A7F">
          <w:rPr>
            <w:webHidden/>
          </w:rPr>
          <w:fldChar w:fldCharType="begin"/>
        </w:r>
        <w:r w:rsidR="00C16A7F">
          <w:rPr>
            <w:webHidden/>
          </w:rPr>
          <w:instrText xml:space="preserve"> PAGEREF _Toc46395244 \h </w:instrText>
        </w:r>
        <w:r w:rsidR="00C16A7F">
          <w:rPr>
            <w:webHidden/>
          </w:rPr>
        </w:r>
        <w:r w:rsidR="00C16A7F">
          <w:rPr>
            <w:webHidden/>
          </w:rPr>
          <w:fldChar w:fldCharType="separate"/>
        </w:r>
        <w:r w:rsidR="00C16A7F">
          <w:rPr>
            <w:webHidden/>
          </w:rPr>
          <w:t>7</w:t>
        </w:r>
        <w:r w:rsidR="00C16A7F">
          <w:rPr>
            <w:webHidden/>
          </w:rPr>
          <w:fldChar w:fldCharType="end"/>
        </w:r>
      </w:hyperlink>
    </w:p>
    <w:p w14:paraId="412767FA" w14:textId="0FA0E2E5" w:rsidR="00C16A7F" w:rsidRDefault="00827BFE">
      <w:pPr>
        <w:pStyle w:val="TOC1"/>
        <w:rPr>
          <w:rFonts w:asciiTheme="minorHAnsi" w:eastAsiaTheme="minorEastAsia" w:hAnsiTheme="minorHAnsi" w:cstheme="minorBidi"/>
          <w:b w:val="0"/>
          <w:sz w:val="22"/>
          <w:szCs w:val="22"/>
        </w:rPr>
      </w:pPr>
      <w:hyperlink w:anchor="_Toc46395245" w:history="1">
        <w:r w:rsidR="00C16A7F" w:rsidRPr="00AE42CB">
          <w:rPr>
            <w:rStyle w:val="Hyperlink"/>
          </w:rPr>
          <w:t>4.</w:t>
        </w:r>
        <w:r w:rsidR="00C16A7F">
          <w:rPr>
            <w:rFonts w:asciiTheme="minorHAnsi" w:eastAsiaTheme="minorEastAsia" w:hAnsiTheme="minorHAnsi" w:cstheme="minorBidi"/>
            <w:b w:val="0"/>
            <w:sz w:val="22"/>
            <w:szCs w:val="22"/>
          </w:rPr>
          <w:tab/>
        </w:r>
        <w:r w:rsidR="00C16A7F" w:rsidRPr="00AE42CB">
          <w:rPr>
            <w:rStyle w:val="Hyperlink"/>
          </w:rPr>
          <w:t>Algorithm Use</w:t>
        </w:r>
        <w:r w:rsidR="00C16A7F">
          <w:rPr>
            <w:webHidden/>
          </w:rPr>
          <w:tab/>
        </w:r>
        <w:r w:rsidR="00C16A7F">
          <w:rPr>
            <w:webHidden/>
          </w:rPr>
          <w:fldChar w:fldCharType="begin"/>
        </w:r>
        <w:r w:rsidR="00C16A7F">
          <w:rPr>
            <w:webHidden/>
          </w:rPr>
          <w:instrText xml:space="preserve"> PAGEREF _Toc46395245 \h </w:instrText>
        </w:r>
        <w:r w:rsidR="00C16A7F">
          <w:rPr>
            <w:webHidden/>
          </w:rPr>
        </w:r>
        <w:r w:rsidR="00C16A7F">
          <w:rPr>
            <w:webHidden/>
          </w:rPr>
          <w:fldChar w:fldCharType="separate"/>
        </w:r>
        <w:r w:rsidR="00C16A7F">
          <w:rPr>
            <w:webHidden/>
          </w:rPr>
          <w:t>8</w:t>
        </w:r>
        <w:r w:rsidR="00C16A7F">
          <w:rPr>
            <w:webHidden/>
          </w:rPr>
          <w:fldChar w:fldCharType="end"/>
        </w:r>
      </w:hyperlink>
    </w:p>
    <w:p w14:paraId="1FCCBC43" w14:textId="1417CC50" w:rsidR="00C16A7F" w:rsidRDefault="00827BFE">
      <w:pPr>
        <w:pStyle w:val="TOC2"/>
        <w:rPr>
          <w:rFonts w:asciiTheme="minorHAnsi" w:eastAsiaTheme="minorEastAsia" w:hAnsiTheme="minorHAnsi" w:cstheme="minorBidi"/>
          <w:sz w:val="22"/>
          <w:szCs w:val="22"/>
        </w:rPr>
      </w:pPr>
      <w:hyperlink w:anchor="_Toc46395246" w:history="1">
        <w:r w:rsidR="00C16A7F" w:rsidRPr="00AE42CB">
          <w:rPr>
            <w:rStyle w:val="Hyperlink"/>
          </w:rPr>
          <w:t>4.1</w:t>
        </w:r>
        <w:r w:rsidR="00C16A7F">
          <w:rPr>
            <w:rFonts w:asciiTheme="minorHAnsi" w:eastAsiaTheme="minorEastAsia" w:hAnsiTheme="minorHAnsi" w:cstheme="minorBidi"/>
            <w:sz w:val="22"/>
            <w:szCs w:val="22"/>
          </w:rPr>
          <w:tab/>
        </w:r>
        <w:r w:rsidR="00C16A7F" w:rsidRPr="00AE42CB">
          <w:rPr>
            <w:rStyle w:val="Hyperlink"/>
          </w:rPr>
          <w:t>User Inputs</w:t>
        </w:r>
        <w:r w:rsidR="00C16A7F">
          <w:rPr>
            <w:webHidden/>
          </w:rPr>
          <w:tab/>
        </w:r>
        <w:r w:rsidR="00C16A7F">
          <w:rPr>
            <w:webHidden/>
          </w:rPr>
          <w:fldChar w:fldCharType="begin"/>
        </w:r>
        <w:r w:rsidR="00C16A7F">
          <w:rPr>
            <w:webHidden/>
          </w:rPr>
          <w:instrText xml:space="preserve"> PAGEREF _Toc46395246 \h </w:instrText>
        </w:r>
        <w:r w:rsidR="00C16A7F">
          <w:rPr>
            <w:webHidden/>
          </w:rPr>
        </w:r>
        <w:r w:rsidR="00C16A7F">
          <w:rPr>
            <w:webHidden/>
          </w:rPr>
          <w:fldChar w:fldCharType="separate"/>
        </w:r>
        <w:r w:rsidR="00C16A7F">
          <w:rPr>
            <w:webHidden/>
          </w:rPr>
          <w:t>8</w:t>
        </w:r>
        <w:r w:rsidR="00C16A7F">
          <w:rPr>
            <w:webHidden/>
          </w:rPr>
          <w:fldChar w:fldCharType="end"/>
        </w:r>
      </w:hyperlink>
    </w:p>
    <w:p w14:paraId="0C5F1309" w14:textId="62641B23" w:rsidR="00C16A7F" w:rsidRDefault="00827BFE">
      <w:pPr>
        <w:pStyle w:val="TOC2"/>
        <w:rPr>
          <w:rFonts w:asciiTheme="minorHAnsi" w:eastAsiaTheme="minorEastAsia" w:hAnsiTheme="minorHAnsi" w:cstheme="minorBidi"/>
          <w:sz w:val="22"/>
          <w:szCs w:val="22"/>
        </w:rPr>
      </w:pPr>
      <w:hyperlink w:anchor="_Toc46395247" w:history="1">
        <w:r w:rsidR="00C16A7F" w:rsidRPr="00AE42CB">
          <w:rPr>
            <w:rStyle w:val="Hyperlink"/>
          </w:rPr>
          <w:t>4.2</w:t>
        </w:r>
        <w:r w:rsidR="00C16A7F">
          <w:rPr>
            <w:rFonts w:asciiTheme="minorHAnsi" w:eastAsiaTheme="minorEastAsia" w:hAnsiTheme="minorHAnsi" w:cstheme="minorBidi"/>
            <w:sz w:val="22"/>
            <w:szCs w:val="22"/>
          </w:rPr>
          <w:tab/>
        </w:r>
        <w:r w:rsidR="00C16A7F" w:rsidRPr="00AE42CB">
          <w:rPr>
            <w:rStyle w:val="Hyperlink"/>
          </w:rPr>
          <w:t>Understanding the Output</w:t>
        </w:r>
        <w:r w:rsidR="00C16A7F">
          <w:rPr>
            <w:webHidden/>
          </w:rPr>
          <w:tab/>
        </w:r>
        <w:r w:rsidR="00C16A7F">
          <w:rPr>
            <w:webHidden/>
          </w:rPr>
          <w:fldChar w:fldCharType="begin"/>
        </w:r>
        <w:r w:rsidR="00C16A7F">
          <w:rPr>
            <w:webHidden/>
          </w:rPr>
          <w:instrText xml:space="preserve"> PAGEREF _Toc46395247 \h </w:instrText>
        </w:r>
        <w:r w:rsidR="00C16A7F">
          <w:rPr>
            <w:webHidden/>
          </w:rPr>
        </w:r>
        <w:r w:rsidR="00C16A7F">
          <w:rPr>
            <w:webHidden/>
          </w:rPr>
          <w:fldChar w:fldCharType="separate"/>
        </w:r>
        <w:r w:rsidR="00C16A7F">
          <w:rPr>
            <w:webHidden/>
          </w:rPr>
          <w:t>9</w:t>
        </w:r>
        <w:r w:rsidR="00C16A7F">
          <w:rPr>
            <w:webHidden/>
          </w:rPr>
          <w:fldChar w:fldCharType="end"/>
        </w:r>
      </w:hyperlink>
    </w:p>
    <w:p w14:paraId="3669F8B1" w14:textId="6EF048D0" w:rsidR="00C16A7F" w:rsidRDefault="00827BFE">
      <w:pPr>
        <w:pStyle w:val="TOC2"/>
        <w:rPr>
          <w:rFonts w:asciiTheme="minorHAnsi" w:eastAsiaTheme="minorEastAsia" w:hAnsiTheme="minorHAnsi" w:cstheme="minorBidi"/>
          <w:sz w:val="22"/>
          <w:szCs w:val="22"/>
        </w:rPr>
      </w:pPr>
      <w:hyperlink w:anchor="_Toc46395248" w:history="1">
        <w:r w:rsidR="00C16A7F" w:rsidRPr="00AE42CB">
          <w:rPr>
            <w:rStyle w:val="Hyperlink"/>
          </w:rPr>
          <w:t>4.3</w:t>
        </w:r>
        <w:r w:rsidR="00C16A7F">
          <w:rPr>
            <w:rFonts w:asciiTheme="minorHAnsi" w:eastAsiaTheme="minorEastAsia" w:hAnsiTheme="minorHAnsi" w:cstheme="minorBidi"/>
            <w:sz w:val="22"/>
            <w:szCs w:val="22"/>
          </w:rPr>
          <w:tab/>
        </w:r>
        <w:r w:rsidR="00C16A7F" w:rsidRPr="00AE42CB">
          <w:rPr>
            <w:rStyle w:val="Hyperlink"/>
          </w:rPr>
          <w:t>Error Codes</w:t>
        </w:r>
        <w:r w:rsidR="00C16A7F">
          <w:rPr>
            <w:webHidden/>
          </w:rPr>
          <w:tab/>
        </w:r>
        <w:r w:rsidR="00C16A7F">
          <w:rPr>
            <w:webHidden/>
          </w:rPr>
          <w:fldChar w:fldCharType="begin"/>
        </w:r>
        <w:r w:rsidR="00C16A7F">
          <w:rPr>
            <w:webHidden/>
          </w:rPr>
          <w:instrText xml:space="preserve"> PAGEREF _Toc46395248 \h </w:instrText>
        </w:r>
        <w:r w:rsidR="00C16A7F">
          <w:rPr>
            <w:webHidden/>
          </w:rPr>
        </w:r>
        <w:r w:rsidR="00C16A7F">
          <w:rPr>
            <w:webHidden/>
          </w:rPr>
          <w:fldChar w:fldCharType="separate"/>
        </w:r>
        <w:r w:rsidR="00C16A7F">
          <w:rPr>
            <w:webHidden/>
          </w:rPr>
          <w:t>11</w:t>
        </w:r>
        <w:r w:rsidR="00C16A7F">
          <w:rPr>
            <w:webHidden/>
          </w:rPr>
          <w:fldChar w:fldCharType="end"/>
        </w:r>
      </w:hyperlink>
    </w:p>
    <w:p w14:paraId="1A766F87" w14:textId="051BC82E" w:rsidR="00C16A7F" w:rsidRDefault="00827BFE">
      <w:pPr>
        <w:pStyle w:val="TOC1"/>
        <w:rPr>
          <w:rFonts w:asciiTheme="minorHAnsi" w:eastAsiaTheme="minorEastAsia" w:hAnsiTheme="minorHAnsi" w:cstheme="minorBidi"/>
          <w:b w:val="0"/>
          <w:sz w:val="22"/>
          <w:szCs w:val="22"/>
        </w:rPr>
      </w:pPr>
      <w:hyperlink w:anchor="_Toc46395249" w:history="1">
        <w:r w:rsidR="00C16A7F" w:rsidRPr="00AE42CB">
          <w:rPr>
            <w:rStyle w:val="Hyperlink"/>
          </w:rPr>
          <w:t>Appendix A. Methodology Notes</w:t>
        </w:r>
        <w:r w:rsidR="00C16A7F">
          <w:rPr>
            <w:webHidden/>
          </w:rPr>
          <w:tab/>
        </w:r>
        <w:r w:rsidR="00C16A7F">
          <w:rPr>
            <w:webHidden/>
          </w:rPr>
          <w:fldChar w:fldCharType="begin"/>
        </w:r>
        <w:r w:rsidR="00C16A7F">
          <w:rPr>
            <w:webHidden/>
          </w:rPr>
          <w:instrText xml:space="preserve"> PAGEREF _Toc46395249 \h </w:instrText>
        </w:r>
        <w:r w:rsidR="00C16A7F">
          <w:rPr>
            <w:webHidden/>
          </w:rPr>
        </w:r>
        <w:r w:rsidR="00C16A7F">
          <w:rPr>
            <w:webHidden/>
          </w:rPr>
          <w:fldChar w:fldCharType="separate"/>
        </w:r>
        <w:r w:rsidR="00C16A7F">
          <w:rPr>
            <w:webHidden/>
          </w:rPr>
          <w:t>13</w:t>
        </w:r>
        <w:r w:rsidR="00C16A7F">
          <w:rPr>
            <w:webHidden/>
          </w:rPr>
          <w:fldChar w:fldCharType="end"/>
        </w:r>
      </w:hyperlink>
    </w:p>
    <w:p w14:paraId="4CA13D9F" w14:textId="688BFA2A" w:rsidR="00C16A7F" w:rsidRDefault="00827BFE">
      <w:pPr>
        <w:pStyle w:val="TOC2"/>
        <w:rPr>
          <w:rFonts w:asciiTheme="minorHAnsi" w:eastAsiaTheme="minorEastAsia" w:hAnsiTheme="minorHAnsi" w:cstheme="minorBidi"/>
          <w:sz w:val="22"/>
          <w:szCs w:val="22"/>
        </w:rPr>
      </w:pPr>
      <w:hyperlink w:anchor="_Toc46395250" w:history="1">
        <w:r w:rsidR="00C16A7F" w:rsidRPr="00AE42CB">
          <w:rPr>
            <w:rStyle w:val="Hyperlink"/>
          </w:rPr>
          <w:t>A.1</w:t>
        </w:r>
        <w:r w:rsidR="00C16A7F">
          <w:rPr>
            <w:rFonts w:asciiTheme="minorHAnsi" w:eastAsiaTheme="minorEastAsia" w:hAnsiTheme="minorHAnsi" w:cstheme="minorBidi"/>
            <w:sz w:val="22"/>
            <w:szCs w:val="22"/>
          </w:rPr>
          <w:tab/>
        </w:r>
        <w:r w:rsidR="00C16A7F" w:rsidRPr="00AE42CB">
          <w:rPr>
            <w:rStyle w:val="Hyperlink"/>
          </w:rPr>
          <w:t>Acronyms</w:t>
        </w:r>
        <w:r w:rsidR="00C16A7F">
          <w:rPr>
            <w:webHidden/>
          </w:rPr>
          <w:tab/>
        </w:r>
        <w:r w:rsidR="00C16A7F">
          <w:rPr>
            <w:webHidden/>
          </w:rPr>
          <w:fldChar w:fldCharType="begin"/>
        </w:r>
        <w:r w:rsidR="00C16A7F">
          <w:rPr>
            <w:webHidden/>
          </w:rPr>
          <w:instrText xml:space="preserve"> PAGEREF _Toc46395250 \h </w:instrText>
        </w:r>
        <w:r w:rsidR="00C16A7F">
          <w:rPr>
            <w:webHidden/>
          </w:rPr>
        </w:r>
        <w:r w:rsidR="00C16A7F">
          <w:rPr>
            <w:webHidden/>
          </w:rPr>
          <w:fldChar w:fldCharType="separate"/>
        </w:r>
        <w:r w:rsidR="00C16A7F">
          <w:rPr>
            <w:webHidden/>
          </w:rPr>
          <w:t>13</w:t>
        </w:r>
        <w:r w:rsidR="00C16A7F">
          <w:rPr>
            <w:webHidden/>
          </w:rPr>
          <w:fldChar w:fldCharType="end"/>
        </w:r>
      </w:hyperlink>
    </w:p>
    <w:p w14:paraId="60C5E3B6" w14:textId="6D610529" w:rsidR="00C16A7F" w:rsidRDefault="00827BFE">
      <w:pPr>
        <w:pStyle w:val="TOC2"/>
        <w:rPr>
          <w:rFonts w:asciiTheme="minorHAnsi" w:eastAsiaTheme="minorEastAsia" w:hAnsiTheme="minorHAnsi" w:cstheme="minorBidi"/>
          <w:sz w:val="22"/>
          <w:szCs w:val="22"/>
        </w:rPr>
      </w:pPr>
      <w:hyperlink w:anchor="_Toc46395251" w:history="1">
        <w:r w:rsidR="00C16A7F" w:rsidRPr="00AE42CB">
          <w:rPr>
            <w:rStyle w:val="Hyperlink"/>
          </w:rPr>
          <w:t>A.2</w:t>
        </w:r>
        <w:r w:rsidR="00C16A7F">
          <w:rPr>
            <w:rFonts w:asciiTheme="minorHAnsi" w:eastAsiaTheme="minorEastAsia" w:hAnsiTheme="minorHAnsi" w:cstheme="minorBidi"/>
            <w:sz w:val="22"/>
            <w:szCs w:val="22"/>
          </w:rPr>
          <w:tab/>
        </w:r>
        <w:r w:rsidR="00C16A7F" w:rsidRPr="00AE42CB">
          <w:rPr>
            <w:rStyle w:val="Hyperlink"/>
          </w:rPr>
          <w:t>Age Adjustment</w:t>
        </w:r>
        <w:r w:rsidR="00C16A7F">
          <w:rPr>
            <w:webHidden/>
          </w:rPr>
          <w:tab/>
        </w:r>
        <w:r w:rsidR="00C16A7F">
          <w:rPr>
            <w:webHidden/>
          </w:rPr>
          <w:fldChar w:fldCharType="begin"/>
        </w:r>
        <w:r w:rsidR="00C16A7F">
          <w:rPr>
            <w:webHidden/>
          </w:rPr>
          <w:instrText xml:space="preserve"> PAGEREF _Toc46395251 \h </w:instrText>
        </w:r>
        <w:r w:rsidR="00C16A7F">
          <w:rPr>
            <w:webHidden/>
          </w:rPr>
        </w:r>
        <w:r w:rsidR="00C16A7F">
          <w:rPr>
            <w:webHidden/>
          </w:rPr>
          <w:fldChar w:fldCharType="separate"/>
        </w:r>
        <w:r w:rsidR="00C16A7F">
          <w:rPr>
            <w:webHidden/>
          </w:rPr>
          <w:t>13</w:t>
        </w:r>
        <w:r w:rsidR="00C16A7F">
          <w:rPr>
            <w:webHidden/>
          </w:rPr>
          <w:fldChar w:fldCharType="end"/>
        </w:r>
      </w:hyperlink>
    </w:p>
    <w:p w14:paraId="22BDACFD" w14:textId="41E61C41" w:rsidR="00C16A7F" w:rsidRDefault="00827BFE">
      <w:pPr>
        <w:pStyle w:val="TOC2"/>
        <w:rPr>
          <w:rFonts w:asciiTheme="minorHAnsi" w:eastAsiaTheme="minorEastAsia" w:hAnsiTheme="minorHAnsi" w:cstheme="minorBidi"/>
          <w:sz w:val="22"/>
          <w:szCs w:val="22"/>
        </w:rPr>
      </w:pPr>
      <w:hyperlink w:anchor="_Toc46395252" w:history="1">
        <w:r w:rsidR="00C16A7F" w:rsidRPr="00AE42CB">
          <w:rPr>
            <w:rStyle w:val="Hyperlink"/>
          </w:rPr>
          <w:t>A.3</w:t>
        </w:r>
        <w:r w:rsidR="00C16A7F">
          <w:rPr>
            <w:rFonts w:asciiTheme="minorHAnsi" w:eastAsiaTheme="minorEastAsia" w:hAnsiTheme="minorHAnsi" w:cstheme="minorBidi"/>
            <w:sz w:val="22"/>
            <w:szCs w:val="22"/>
          </w:rPr>
          <w:tab/>
        </w:r>
        <w:r w:rsidR="00C16A7F" w:rsidRPr="00AE42CB">
          <w:rPr>
            <w:rStyle w:val="Hyperlink"/>
          </w:rPr>
          <w:t>Body Mass Index</w:t>
        </w:r>
        <w:r w:rsidR="00C16A7F">
          <w:rPr>
            <w:webHidden/>
          </w:rPr>
          <w:tab/>
        </w:r>
        <w:r w:rsidR="00C16A7F">
          <w:rPr>
            <w:webHidden/>
          </w:rPr>
          <w:fldChar w:fldCharType="begin"/>
        </w:r>
        <w:r w:rsidR="00C16A7F">
          <w:rPr>
            <w:webHidden/>
          </w:rPr>
          <w:instrText xml:space="preserve"> PAGEREF _Toc46395252 \h </w:instrText>
        </w:r>
        <w:r w:rsidR="00C16A7F">
          <w:rPr>
            <w:webHidden/>
          </w:rPr>
        </w:r>
        <w:r w:rsidR="00C16A7F">
          <w:rPr>
            <w:webHidden/>
          </w:rPr>
          <w:fldChar w:fldCharType="separate"/>
        </w:r>
        <w:r w:rsidR="00C16A7F">
          <w:rPr>
            <w:webHidden/>
          </w:rPr>
          <w:t>14</w:t>
        </w:r>
        <w:r w:rsidR="00C16A7F">
          <w:rPr>
            <w:webHidden/>
          </w:rPr>
          <w:fldChar w:fldCharType="end"/>
        </w:r>
      </w:hyperlink>
    </w:p>
    <w:p w14:paraId="61A220A7" w14:textId="5BDA52D3" w:rsidR="00C16A7F" w:rsidRDefault="00827BFE">
      <w:pPr>
        <w:pStyle w:val="TOC2"/>
        <w:rPr>
          <w:rFonts w:asciiTheme="minorHAnsi" w:eastAsiaTheme="minorEastAsia" w:hAnsiTheme="minorHAnsi" w:cstheme="minorBidi"/>
          <w:sz w:val="22"/>
          <w:szCs w:val="22"/>
        </w:rPr>
      </w:pPr>
      <w:hyperlink w:anchor="_Toc46395253" w:history="1">
        <w:r w:rsidR="00C16A7F" w:rsidRPr="00AE42CB">
          <w:rPr>
            <w:rStyle w:val="Hyperlink"/>
          </w:rPr>
          <w:t>A.4</w:t>
        </w:r>
        <w:r w:rsidR="00C16A7F">
          <w:rPr>
            <w:rFonts w:asciiTheme="minorHAnsi" w:eastAsiaTheme="minorEastAsia" w:hAnsiTheme="minorHAnsi" w:cstheme="minorBidi"/>
            <w:sz w:val="22"/>
            <w:szCs w:val="22"/>
          </w:rPr>
          <w:tab/>
        </w:r>
        <w:r w:rsidR="00C16A7F" w:rsidRPr="00AE42CB">
          <w:rPr>
            <w:rStyle w:val="Hyperlink"/>
          </w:rPr>
          <w:t>Prevalence</w:t>
        </w:r>
        <w:r w:rsidR="00C16A7F">
          <w:rPr>
            <w:webHidden/>
          </w:rPr>
          <w:tab/>
        </w:r>
        <w:r w:rsidR="00C16A7F">
          <w:rPr>
            <w:webHidden/>
          </w:rPr>
          <w:fldChar w:fldCharType="begin"/>
        </w:r>
        <w:r w:rsidR="00C16A7F">
          <w:rPr>
            <w:webHidden/>
          </w:rPr>
          <w:instrText xml:space="preserve"> PAGEREF _Toc46395253 \h </w:instrText>
        </w:r>
        <w:r w:rsidR="00C16A7F">
          <w:rPr>
            <w:webHidden/>
          </w:rPr>
        </w:r>
        <w:r w:rsidR="00C16A7F">
          <w:rPr>
            <w:webHidden/>
          </w:rPr>
          <w:fldChar w:fldCharType="separate"/>
        </w:r>
        <w:r w:rsidR="00C16A7F">
          <w:rPr>
            <w:webHidden/>
          </w:rPr>
          <w:t>15</w:t>
        </w:r>
        <w:r w:rsidR="00C16A7F">
          <w:rPr>
            <w:webHidden/>
          </w:rPr>
          <w:fldChar w:fldCharType="end"/>
        </w:r>
      </w:hyperlink>
    </w:p>
    <w:p w14:paraId="23CB9018" w14:textId="4FC3DD1E" w:rsidR="00C16A7F" w:rsidRDefault="00827BFE">
      <w:pPr>
        <w:pStyle w:val="TOC2"/>
        <w:rPr>
          <w:rFonts w:asciiTheme="minorHAnsi" w:eastAsiaTheme="minorEastAsia" w:hAnsiTheme="minorHAnsi" w:cstheme="minorBidi"/>
          <w:sz w:val="22"/>
          <w:szCs w:val="22"/>
        </w:rPr>
      </w:pPr>
      <w:hyperlink w:anchor="_Toc46395254" w:history="1">
        <w:r w:rsidR="00C16A7F" w:rsidRPr="00AE42CB">
          <w:rPr>
            <w:rStyle w:val="Hyperlink"/>
          </w:rPr>
          <w:t>A.5</w:t>
        </w:r>
        <w:r w:rsidR="00C16A7F">
          <w:rPr>
            <w:rFonts w:asciiTheme="minorHAnsi" w:eastAsiaTheme="minorEastAsia" w:hAnsiTheme="minorHAnsi" w:cstheme="minorBidi"/>
            <w:sz w:val="22"/>
            <w:szCs w:val="22"/>
          </w:rPr>
          <w:tab/>
        </w:r>
        <w:r w:rsidR="00C16A7F" w:rsidRPr="00AE42CB">
          <w:rPr>
            <w:rStyle w:val="Hyperlink"/>
          </w:rPr>
          <w:t>Race Exclusion</w:t>
        </w:r>
        <w:r w:rsidR="00C16A7F">
          <w:rPr>
            <w:webHidden/>
          </w:rPr>
          <w:tab/>
        </w:r>
        <w:r w:rsidR="00C16A7F">
          <w:rPr>
            <w:webHidden/>
          </w:rPr>
          <w:fldChar w:fldCharType="begin"/>
        </w:r>
        <w:r w:rsidR="00C16A7F">
          <w:rPr>
            <w:webHidden/>
          </w:rPr>
          <w:instrText xml:space="preserve"> PAGEREF _Toc46395254 \h </w:instrText>
        </w:r>
        <w:r w:rsidR="00C16A7F">
          <w:rPr>
            <w:webHidden/>
          </w:rPr>
        </w:r>
        <w:r w:rsidR="00C16A7F">
          <w:rPr>
            <w:webHidden/>
          </w:rPr>
          <w:fldChar w:fldCharType="separate"/>
        </w:r>
        <w:r w:rsidR="00C16A7F">
          <w:rPr>
            <w:webHidden/>
          </w:rPr>
          <w:t>15</w:t>
        </w:r>
        <w:r w:rsidR="00C16A7F">
          <w:rPr>
            <w:webHidden/>
          </w:rPr>
          <w:fldChar w:fldCharType="end"/>
        </w:r>
      </w:hyperlink>
    </w:p>
    <w:p w14:paraId="5363B1FF" w14:textId="6EDA663B" w:rsidR="00C16A7F" w:rsidRDefault="00827BFE">
      <w:pPr>
        <w:pStyle w:val="TOC2"/>
        <w:rPr>
          <w:rFonts w:asciiTheme="minorHAnsi" w:eastAsiaTheme="minorEastAsia" w:hAnsiTheme="minorHAnsi" w:cstheme="minorBidi"/>
          <w:sz w:val="22"/>
          <w:szCs w:val="22"/>
        </w:rPr>
      </w:pPr>
      <w:hyperlink w:anchor="_Toc46395255" w:history="1">
        <w:r w:rsidR="00C16A7F" w:rsidRPr="00AE42CB">
          <w:rPr>
            <w:rStyle w:val="Hyperlink"/>
          </w:rPr>
          <w:t>A.6</w:t>
        </w:r>
        <w:r w:rsidR="00C16A7F">
          <w:rPr>
            <w:rFonts w:asciiTheme="minorHAnsi" w:eastAsiaTheme="minorEastAsia" w:hAnsiTheme="minorHAnsi" w:cstheme="minorBidi"/>
            <w:sz w:val="22"/>
            <w:szCs w:val="22"/>
          </w:rPr>
          <w:tab/>
        </w:r>
        <w:r w:rsidR="00C16A7F" w:rsidRPr="00AE42CB">
          <w:rPr>
            <w:rStyle w:val="Hyperlink"/>
          </w:rPr>
          <w:t>Race Imputation</w:t>
        </w:r>
        <w:r w:rsidR="00C16A7F">
          <w:rPr>
            <w:webHidden/>
          </w:rPr>
          <w:tab/>
        </w:r>
        <w:r w:rsidR="00C16A7F">
          <w:rPr>
            <w:webHidden/>
          </w:rPr>
          <w:fldChar w:fldCharType="begin"/>
        </w:r>
        <w:r w:rsidR="00C16A7F">
          <w:rPr>
            <w:webHidden/>
          </w:rPr>
          <w:instrText xml:space="preserve"> PAGEREF _Toc46395255 \h </w:instrText>
        </w:r>
        <w:r w:rsidR="00C16A7F">
          <w:rPr>
            <w:webHidden/>
          </w:rPr>
        </w:r>
        <w:r w:rsidR="00C16A7F">
          <w:rPr>
            <w:webHidden/>
          </w:rPr>
          <w:fldChar w:fldCharType="separate"/>
        </w:r>
        <w:r w:rsidR="00C16A7F">
          <w:rPr>
            <w:webHidden/>
          </w:rPr>
          <w:t>15</w:t>
        </w:r>
        <w:r w:rsidR="00C16A7F">
          <w:rPr>
            <w:webHidden/>
          </w:rPr>
          <w:fldChar w:fldCharType="end"/>
        </w:r>
      </w:hyperlink>
    </w:p>
    <w:p w14:paraId="32B07634" w14:textId="22036FEC" w:rsidR="00C16A7F" w:rsidRDefault="00827BFE">
      <w:pPr>
        <w:pStyle w:val="TOC2"/>
        <w:rPr>
          <w:rFonts w:asciiTheme="minorHAnsi" w:eastAsiaTheme="minorEastAsia" w:hAnsiTheme="minorHAnsi" w:cstheme="minorBidi"/>
          <w:sz w:val="22"/>
          <w:szCs w:val="22"/>
        </w:rPr>
      </w:pPr>
      <w:hyperlink w:anchor="_Toc46395256" w:history="1">
        <w:r w:rsidR="00C16A7F" w:rsidRPr="00AE42CB">
          <w:rPr>
            <w:rStyle w:val="Hyperlink"/>
          </w:rPr>
          <w:t>A.7</w:t>
        </w:r>
        <w:r w:rsidR="00C16A7F">
          <w:rPr>
            <w:rFonts w:asciiTheme="minorHAnsi" w:eastAsiaTheme="minorEastAsia" w:hAnsiTheme="minorHAnsi" w:cstheme="minorBidi"/>
            <w:sz w:val="22"/>
            <w:szCs w:val="22"/>
          </w:rPr>
          <w:tab/>
        </w:r>
        <w:r w:rsidR="00C16A7F" w:rsidRPr="00AE42CB">
          <w:rPr>
            <w:rStyle w:val="Hyperlink"/>
          </w:rPr>
          <w:t>Statistical Weights</w:t>
        </w:r>
        <w:r w:rsidR="00C16A7F">
          <w:rPr>
            <w:webHidden/>
          </w:rPr>
          <w:tab/>
        </w:r>
        <w:r w:rsidR="00C16A7F">
          <w:rPr>
            <w:webHidden/>
          </w:rPr>
          <w:fldChar w:fldCharType="begin"/>
        </w:r>
        <w:r w:rsidR="00C16A7F">
          <w:rPr>
            <w:webHidden/>
          </w:rPr>
          <w:instrText xml:space="preserve"> PAGEREF _Toc46395256 \h </w:instrText>
        </w:r>
        <w:r w:rsidR="00C16A7F">
          <w:rPr>
            <w:webHidden/>
          </w:rPr>
        </w:r>
        <w:r w:rsidR="00C16A7F">
          <w:rPr>
            <w:webHidden/>
          </w:rPr>
          <w:fldChar w:fldCharType="separate"/>
        </w:r>
        <w:r w:rsidR="00C16A7F">
          <w:rPr>
            <w:webHidden/>
          </w:rPr>
          <w:t>15</w:t>
        </w:r>
        <w:r w:rsidR="00C16A7F">
          <w:rPr>
            <w:webHidden/>
          </w:rPr>
          <w:fldChar w:fldCharType="end"/>
        </w:r>
      </w:hyperlink>
    </w:p>
    <w:p w14:paraId="36B37851" w14:textId="17B5E526" w:rsidR="00C16A7F" w:rsidRDefault="00827BFE">
      <w:pPr>
        <w:pStyle w:val="TOC2"/>
        <w:rPr>
          <w:rFonts w:asciiTheme="minorHAnsi" w:eastAsiaTheme="minorEastAsia" w:hAnsiTheme="minorHAnsi" w:cstheme="minorBidi"/>
          <w:sz w:val="22"/>
          <w:szCs w:val="22"/>
        </w:rPr>
      </w:pPr>
      <w:hyperlink w:anchor="_Toc46395257" w:history="1">
        <w:r w:rsidR="00C16A7F" w:rsidRPr="00AE42CB">
          <w:rPr>
            <w:rStyle w:val="Hyperlink"/>
          </w:rPr>
          <w:t>A.8</w:t>
        </w:r>
        <w:r w:rsidR="00C16A7F">
          <w:rPr>
            <w:rFonts w:asciiTheme="minorHAnsi" w:eastAsiaTheme="minorEastAsia" w:hAnsiTheme="minorHAnsi" w:cstheme="minorBidi"/>
            <w:sz w:val="22"/>
            <w:szCs w:val="22"/>
          </w:rPr>
          <w:tab/>
        </w:r>
        <w:r w:rsidR="00C16A7F" w:rsidRPr="00AE42CB">
          <w:rPr>
            <w:rStyle w:val="Hyperlink"/>
          </w:rPr>
          <w:t>Social Determinants of Health</w:t>
        </w:r>
        <w:r w:rsidR="00C16A7F">
          <w:rPr>
            <w:webHidden/>
          </w:rPr>
          <w:tab/>
        </w:r>
        <w:r w:rsidR="00C16A7F">
          <w:rPr>
            <w:webHidden/>
          </w:rPr>
          <w:fldChar w:fldCharType="begin"/>
        </w:r>
        <w:r w:rsidR="00C16A7F">
          <w:rPr>
            <w:webHidden/>
          </w:rPr>
          <w:instrText xml:space="preserve"> PAGEREF _Toc46395257 \h </w:instrText>
        </w:r>
        <w:r w:rsidR="00C16A7F">
          <w:rPr>
            <w:webHidden/>
          </w:rPr>
        </w:r>
        <w:r w:rsidR="00C16A7F">
          <w:rPr>
            <w:webHidden/>
          </w:rPr>
          <w:fldChar w:fldCharType="separate"/>
        </w:r>
        <w:r w:rsidR="00C16A7F">
          <w:rPr>
            <w:webHidden/>
          </w:rPr>
          <w:t>17</w:t>
        </w:r>
        <w:r w:rsidR="00C16A7F">
          <w:rPr>
            <w:webHidden/>
          </w:rPr>
          <w:fldChar w:fldCharType="end"/>
        </w:r>
      </w:hyperlink>
    </w:p>
    <w:p w14:paraId="1E1B8396" w14:textId="3059A3B6" w:rsidR="00C16A7F" w:rsidRDefault="00827BFE">
      <w:pPr>
        <w:pStyle w:val="TOC2"/>
        <w:rPr>
          <w:rFonts w:asciiTheme="minorHAnsi" w:eastAsiaTheme="minorEastAsia" w:hAnsiTheme="minorHAnsi" w:cstheme="minorBidi"/>
          <w:sz w:val="22"/>
          <w:szCs w:val="22"/>
        </w:rPr>
      </w:pPr>
      <w:hyperlink w:anchor="_Toc46395258" w:history="1">
        <w:r w:rsidR="00C16A7F" w:rsidRPr="00AE42CB">
          <w:rPr>
            <w:rStyle w:val="Hyperlink"/>
          </w:rPr>
          <w:t>A.9</w:t>
        </w:r>
        <w:r w:rsidR="00C16A7F">
          <w:rPr>
            <w:rFonts w:asciiTheme="minorHAnsi" w:eastAsiaTheme="minorEastAsia" w:hAnsiTheme="minorHAnsi" w:cstheme="minorBidi"/>
            <w:sz w:val="22"/>
            <w:szCs w:val="22"/>
          </w:rPr>
          <w:tab/>
        </w:r>
        <w:r w:rsidR="00C16A7F" w:rsidRPr="00AE42CB">
          <w:rPr>
            <w:rStyle w:val="Hyperlink"/>
          </w:rPr>
          <w:t>Standard Error</w:t>
        </w:r>
        <w:r w:rsidR="00C16A7F">
          <w:rPr>
            <w:webHidden/>
          </w:rPr>
          <w:tab/>
        </w:r>
        <w:r w:rsidR="00C16A7F">
          <w:rPr>
            <w:webHidden/>
          </w:rPr>
          <w:fldChar w:fldCharType="begin"/>
        </w:r>
        <w:r w:rsidR="00C16A7F">
          <w:rPr>
            <w:webHidden/>
          </w:rPr>
          <w:instrText xml:space="preserve"> PAGEREF _Toc46395258 \h </w:instrText>
        </w:r>
        <w:r w:rsidR="00C16A7F">
          <w:rPr>
            <w:webHidden/>
          </w:rPr>
        </w:r>
        <w:r w:rsidR="00C16A7F">
          <w:rPr>
            <w:webHidden/>
          </w:rPr>
          <w:fldChar w:fldCharType="separate"/>
        </w:r>
        <w:r w:rsidR="00C16A7F">
          <w:rPr>
            <w:webHidden/>
          </w:rPr>
          <w:t>17</w:t>
        </w:r>
        <w:r w:rsidR="00C16A7F">
          <w:rPr>
            <w:webHidden/>
          </w:rPr>
          <w:fldChar w:fldCharType="end"/>
        </w:r>
      </w:hyperlink>
    </w:p>
    <w:p w14:paraId="2093C1E6" w14:textId="67E22785" w:rsidR="00C16A7F" w:rsidRDefault="00827BFE">
      <w:pPr>
        <w:pStyle w:val="TOC2"/>
        <w:rPr>
          <w:rFonts w:asciiTheme="minorHAnsi" w:eastAsiaTheme="minorEastAsia" w:hAnsiTheme="minorHAnsi" w:cstheme="minorBidi"/>
          <w:sz w:val="22"/>
          <w:szCs w:val="22"/>
        </w:rPr>
      </w:pPr>
      <w:hyperlink w:anchor="_Toc46395259" w:history="1">
        <w:r w:rsidR="00C16A7F" w:rsidRPr="00AE42CB">
          <w:rPr>
            <w:rStyle w:val="Hyperlink"/>
          </w:rPr>
          <w:t>A.10</w:t>
        </w:r>
        <w:r w:rsidR="00C16A7F">
          <w:rPr>
            <w:rFonts w:asciiTheme="minorHAnsi" w:eastAsiaTheme="minorEastAsia" w:hAnsiTheme="minorHAnsi" w:cstheme="minorBidi"/>
            <w:sz w:val="22"/>
            <w:szCs w:val="22"/>
          </w:rPr>
          <w:tab/>
        </w:r>
        <w:r w:rsidR="00C16A7F" w:rsidRPr="00AE42CB">
          <w:rPr>
            <w:rStyle w:val="Hyperlink"/>
          </w:rPr>
          <w:t>Suppression</w:t>
        </w:r>
        <w:r w:rsidR="00C16A7F">
          <w:rPr>
            <w:webHidden/>
          </w:rPr>
          <w:tab/>
        </w:r>
        <w:r w:rsidR="00C16A7F">
          <w:rPr>
            <w:webHidden/>
          </w:rPr>
          <w:fldChar w:fldCharType="begin"/>
        </w:r>
        <w:r w:rsidR="00C16A7F">
          <w:rPr>
            <w:webHidden/>
          </w:rPr>
          <w:instrText xml:space="preserve"> PAGEREF _Toc46395259 \h </w:instrText>
        </w:r>
        <w:r w:rsidR="00C16A7F">
          <w:rPr>
            <w:webHidden/>
          </w:rPr>
        </w:r>
        <w:r w:rsidR="00C16A7F">
          <w:rPr>
            <w:webHidden/>
          </w:rPr>
          <w:fldChar w:fldCharType="separate"/>
        </w:r>
        <w:r w:rsidR="00C16A7F">
          <w:rPr>
            <w:webHidden/>
          </w:rPr>
          <w:t>17</w:t>
        </w:r>
        <w:r w:rsidR="00C16A7F">
          <w:rPr>
            <w:webHidden/>
          </w:rPr>
          <w:fldChar w:fldCharType="end"/>
        </w:r>
      </w:hyperlink>
    </w:p>
    <w:p w14:paraId="5F825511" w14:textId="72D5D774" w:rsidR="00C16A7F" w:rsidRDefault="00827BFE">
      <w:pPr>
        <w:pStyle w:val="TOC2"/>
        <w:rPr>
          <w:rFonts w:asciiTheme="minorHAnsi" w:eastAsiaTheme="minorEastAsia" w:hAnsiTheme="minorHAnsi" w:cstheme="minorBidi"/>
          <w:sz w:val="22"/>
          <w:szCs w:val="22"/>
        </w:rPr>
      </w:pPr>
      <w:hyperlink w:anchor="_Toc46395260" w:history="1">
        <w:r w:rsidR="00C16A7F" w:rsidRPr="00AE42CB">
          <w:rPr>
            <w:rStyle w:val="Hyperlink"/>
          </w:rPr>
          <w:t>A.11</w:t>
        </w:r>
        <w:r w:rsidR="00C16A7F">
          <w:rPr>
            <w:rFonts w:asciiTheme="minorHAnsi" w:eastAsiaTheme="minorEastAsia" w:hAnsiTheme="minorHAnsi" w:cstheme="minorBidi"/>
            <w:sz w:val="22"/>
            <w:szCs w:val="22"/>
          </w:rPr>
          <w:tab/>
        </w:r>
        <w:r w:rsidR="00C16A7F" w:rsidRPr="00AE42CB">
          <w:rPr>
            <w:rStyle w:val="Hyperlink"/>
          </w:rPr>
          <w:t>Variance Estimation</w:t>
        </w:r>
        <w:r w:rsidR="00C16A7F">
          <w:rPr>
            <w:webHidden/>
          </w:rPr>
          <w:tab/>
        </w:r>
        <w:r w:rsidR="00C16A7F">
          <w:rPr>
            <w:webHidden/>
          </w:rPr>
          <w:fldChar w:fldCharType="begin"/>
        </w:r>
        <w:r w:rsidR="00C16A7F">
          <w:rPr>
            <w:webHidden/>
          </w:rPr>
          <w:instrText xml:space="preserve"> PAGEREF _Toc46395260 \h </w:instrText>
        </w:r>
        <w:r w:rsidR="00C16A7F">
          <w:rPr>
            <w:webHidden/>
          </w:rPr>
        </w:r>
        <w:r w:rsidR="00C16A7F">
          <w:rPr>
            <w:webHidden/>
          </w:rPr>
          <w:fldChar w:fldCharType="separate"/>
        </w:r>
        <w:r w:rsidR="00C16A7F">
          <w:rPr>
            <w:webHidden/>
          </w:rPr>
          <w:t>20</w:t>
        </w:r>
        <w:r w:rsidR="00C16A7F">
          <w:rPr>
            <w:webHidden/>
          </w:rPr>
          <w:fldChar w:fldCharType="end"/>
        </w:r>
      </w:hyperlink>
    </w:p>
    <w:p w14:paraId="26065614" w14:textId="18069C24" w:rsidR="00C16A7F" w:rsidRDefault="00827BFE">
      <w:pPr>
        <w:pStyle w:val="TOC2"/>
        <w:rPr>
          <w:rFonts w:asciiTheme="minorHAnsi" w:eastAsiaTheme="minorEastAsia" w:hAnsiTheme="minorHAnsi" w:cstheme="minorBidi"/>
          <w:sz w:val="22"/>
          <w:szCs w:val="22"/>
        </w:rPr>
      </w:pPr>
      <w:hyperlink w:anchor="_Toc46395261" w:history="1">
        <w:r w:rsidR="00C16A7F" w:rsidRPr="00AE42CB">
          <w:rPr>
            <w:rStyle w:val="Hyperlink"/>
          </w:rPr>
          <w:t>A.12</w:t>
        </w:r>
        <w:r w:rsidR="00C16A7F">
          <w:rPr>
            <w:rFonts w:asciiTheme="minorHAnsi" w:eastAsiaTheme="minorEastAsia" w:hAnsiTheme="minorHAnsi" w:cstheme="minorBidi"/>
            <w:sz w:val="22"/>
            <w:szCs w:val="22"/>
          </w:rPr>
          <w:tab/>
        </w:r>
        <w:r w:rsidR="00C16A7F" w:rsidRPr="00AE42CB">
          <w:rPr>
            <w:rStyle w:val="Hyperlink"/>
          </w:rPr>
          <w:t>Weight Category</w:t>
        </w:r>
        <w:r w:rsidR="00C16A7F">
          <w:rPr>
            <w:webHidden/>
          </w:rPr>
          <w:tab/>
        </w:r>
        <w:r w:rsidR="00C16A7F">
          <w:rPr>
            <w:webHidden/>
          </w:rPr>
          <w:fldChar w:fldCharType="begin"/>
        </w:r>
        <w:r w:rsidR="00C16A7F">
          <w:rPr>
            <w:webHidden/>
          </w:rPr>
          <w:instrText xml:space="preserve"> PAGEREF _Toc46395261 \h </w:instrText>
        </w:r>
        <w:r w:rsidR="00C16A7F">
          <w:rPr>
            <w:webHidden/>
          </w:rPr>
        </w:r>
        <w:r w:rsidR="00C16A7F">
          <w:rPr>
            <w:webHidden/>
          </w:rPr>
          <w:fldChar w:fldCharType="separate"/>
        </w:r>
        <w:r w:rsidR="00C16A7F">
          <w:rPr>
            <w:webHidden/>
          </w:rPr>
          <w:t>21</w:t>
        </w:r>
        <w:r w:rsidR="00C16A7F">
          <w:rPr>
            <w:webHidden/>
          </w:rPr>
          <w:fldChar w:fldCharType="end"/>
        </w:r>
      </w:hyperlink>
    </w:p>
    <w:p w14:paraId="5C20FC21" w14:textId="38D9C4BA" w:rsidR="00C16A7F" w:rsidRDefault="00827BFE">
      <w:pPr>
        <w:pStyle w:val="TOC2"/>
        <w:rPr>
          <w:rFonts w:asciiTheme="minorHAnsi" w:eastAsiaTheme="minorEastAsia" w:hAnsiTheme="minorHAnsi" w:cstheme="minorBidi"/>
          <w:sz w:val="22"/>
          <w:szCs w:val="22"/>
        </w:rPr>
      </w:pPr>
      <w:hyperlink w:anchor="_Toc46395262" w:history="1">
        <w:r w:rsidR="00C16A7F" w:rsidRPr="00AE42CB">
          <w:rPr>
            <w:rStyle w:val="Hyperlink"/>
          </w:rPr>
          <w:t>A.13</w:t>
        </w:r>
        <w:r w:rsidR="00C16A7F">
          <w:rPr>
            <w:rFonts w:asciiTheme="minorHAnsi" w:eastAsiaTheme="minorEastAsia" w:hAnsiTheme="minorHAnsi" w:cstheme="minorBidi"/>
            <w:sz w:val="22"/>
            <w:szCs w:val="22"/>
          </w:rPr>
          <w:tab/>
        </w:r>
        <w:r w:rsidR="00C16A7F" w:rsidRPr="00AE42CB">
          <w:rPr>
            <w:rStyle w:val="Hyperlink"/>
          </w:rPr>
          <w:t>ZCTA-3</w:t>
        </w:r>
        <w:r w:rsidR="00C16A7F">
          <w:rPr>
            <w:webHidden/>
          </w:rPr>
          <w:tab/>
        </w:r>
        <w:r w:rsidR="00C16A7F">
          <w:rPr>
            <w:webHidden/>
          </w:rPr>
          <w:fldChar w:fldCharType="begin"/>
        </w:r>
        <w:r w:rsidR="00C16A7F">
          <w:rPr>
            <w:webHidden/>
          </w:rPr>
          <w:instrText xml:space="preserve"> PAGEREF _Toc46395262 \h </w:instrText>
        </w:r>
        <w:r w:rsidR="00C16A7F">
          <w:rPr>
            <w:webHidden/>
          </w:rPr>
        </w:r>
        <w:r w:rsidR="00C16A7F">
          <w:rPr>
            <w:webHidden/>
          </w:rPr>
          <w:fldChar w:fldCharType="separate"/>
        </w:r>
        <w:r w:rsidR="00C16A7F">
          <w:rPr>
            <w:webHidden/>
          </w:rPr>
          <w:t>21</w:t>
        </w:r>
        <w:r w:rsidR="00C16A7F">
          <w:rPr>
            <w:webHidden/>
          </w:rPr>
          <w:fldChar w:fldCharType="end"/>
        </w:r>
      </w:hyperlink>
    </w:p>
    <w:p w14:paraId="78756709" w14:textId="6FBE334E" w:rsidR="00C16A7F" w:rsidRDefault="00827BFE">
      <w:pPr>
        <w:pStyle w:val="TOC1"/>
        <w:rPr>
          <w:rFonts w:asciiTheme="minorHAnsi" w:eastAsiaTheme="minorEastAsia" w:hAnsiTheme="minorHAnsi" w:cstheme="minorBidi"/>
          <w:b w:val="0"/>
          <w:sz w:val="22"/>
          <w:szCs w:val="22"/>
        </w:rPr>
      </w:pPr>
      <w:hyperlink w:anchor="_Toc46395263" w:history="1">
        <w:r w:rsidR="00C16A7F" w:rsidRPr="00AE42CB">
          <w:rPr>
            <w:rStyle w:val="Hyperlink"/>
          </w:rPr>
          <w:t>Appendix B. FIPS Codes and State Names</w:t>
        </w:r>
        <w:r w:rsidR="00C16A7F">
          <w:rPr>
            <w:webHidden/>
          </w:rPr>
          <w:tab/>
        </w:r>
        <w:r w:rsidR="00C16A7F">
          <w:rPr>
            <w:webHidden/>
          </w:rPr>
          <w:fldChar w:fldCharType="begin"/>
        </w:r>
        <w:r w:rsidR="00C16A7F">
          <w:rPr>
            <w:webHidden/>
          </w:rPr>
          <w:instrText xml:space="preserve"> PAGEREF _Toc46395263 \h </w:instrText>
        </w:r>
        <w:r w:rsidR="00C16A7F">
          <w:rPr>
            <w:webHidden/>
          </w:rPr>
        </w:r>
        <w:r w:rsidR="00C16A7F">
          <w:rPr>
            <w:webHidden/>
          </w:rPr>
          <w:fldChar w:fldCharType="separate"/>
        </w:r>
        <w:r w:rsidR="00C16A7F">
          <w:rPr>
            <w:webHidden/>
          </w:rPr>
          <w:t>23</w:t>
        </w:r>
        <w:r w:rsidR="00C16A7F">
          <w:rPr>
            <w:webHidden/>
          </w:rPr>
          <w:fldChar w:fldCharType="end"/>
        </w:r>
      </w:hyperlink>
    </w:p>
    <w:p w14:paraId="4AFEB76F" w14:textId="01FB5872" w:rsidR="00C16A7F" w:rsidRDefault="00827BFE">
      <w:pPr>
        <w:pStyle w:val="TOC1"/>
        <w:rPr>
          <w:rFonts w:asciiTheme="minorHAnsi" w:eastAsiaTheme="minorEastAsia" w:hAnsiTheme="minorHAnsi" w:cstheme="minorBidi"/>
          <w:b w:val="0"/>
          <w:sz w:val="22"/>
          <w:szCs w:val="22"/>
        </w:rPr>
      </w:pPr>
      <w:hyperlink w:anchor="_Toc46395264" w:history="1">
        <w:r w:rsidR="00C16A7F" w:rsidRPr="00AE42CB">
          <w:rPr>
            <w:rStyle w:val="Hyperlink"/>
          </w:rPr>
          <w:t>References</w:t>
        </w:r>
        <w:r w:rsidR="00C16A7F">
          <w:rPr>
            <w:webHidden/>
          </w:rPr>
          <w:tab/>
        </w:r>
        <w:r w:rsidR="00C16A7F">
          <w:rPr>
            <w:webHidden/>
          </w:rPr>
          <w:fldChar w:fldCharType="begin"/>
        </w:r>
        <w:r w:rsidR="00C16A7F">
          <w:rPr>
            <w:webHidden/>
          </w:rPr>
          <w:instrText xml:space="preserve"> PAGEREF _Toc46395264 \h </w:instrText>
        </w:r>
        <w:r w:rsidR="00C16A7F">
          <w:rPr>
            <w:webHidden/>
          </w:rPr>
        </w:r>
        <w:r w:rsidR="00C16A7F">
          <w:rPr>
            <w:webHidden/>
          </w:rPr>
          <w:fldChar w:fldCharType="separate"/>
        </w:r>
        <w:r w:rsidR="00C16A7F">
          <w:rPr>
            <w:webHidden/>
          </w:rPr>
          <w:t>25</w:t>
        </w:r>
        <w:r w:rsidR="00C16A7F">
          <w:rPr>
            <w:webHidden/>
          </w:rPr>
          <w:fldChar w:fldCharType="end"/>
        </w:r>
      </w:hyperlink>
    </w:p>
    <w:p w14:paraId="28CFFE35" w14:textId="53F1F7AB" w:rsidR="00C16A7F" w:rsidRDefault="00827BFE">
      <w:pPr>
        <w:pStyle w:val="TOC1"/>
        <w:rPr>
          <w:rFonts w:asciiTheme="minorHAnsi" w:eastAsiaTheme="minorEastAsia" w:hAnsiTheme="minorHAnsi" w:cstheme="minorBidi"/>
          <w:b w:val="0"/>
          <w:sz w:val="22"/>
          <w:szCs w:val="22"/>
        </w:rPr>
      </w:pPr>
      <w:hyperlink w:anchor="_Toc46395265" w:history="1">
        <w:r w:rsidR="00C16A7F" w:rsidRPr="00AE42CB">
          <w:rPr>
            <w:rStyle w:val="Hyperlink"/>
          </w:rPr>
          <w:t>NOTICE</w:t>
        </w:r>
        <w:r w:rsidR="00C16A7F">
          <w:rPr>
            <w:webHidden/>
          </w:rPr>
          <w:tab/>
        </w:r>
        <w:r w:rsidR="00C16A7F">
          <w:rPr>
            <w:webHidden/>
          </w:rPr>
          <w:fldChar w:fldCharType="begin"/>
        </w:r>
        <w:r w:rsidR="00C16A7F">
          <w:rPr>
            <w:webHidden/>
          </w:rPr>
          <w:instrText xml:space="preserve"> PAGEREF _Toc46395265 \h </w:instrText>
        </w:r>
        <w:r w:rsidR="00C16A7F">
          <w:rPr>
            <w:webHidden/>
          </w:rPr>
        </w:r>
        <w:r w:rsidR="00C16A7F">
          <w:rPr>
            <w:webHidden/>
          </w:rPr>
          <w:fldChar w:fldCharType="separate"/>
        </w:r>
        <w:r w:rsidR="00C16A7F">
          <w:rPr>
            <w:webHidden/>
          </w:rPr>
          <w:t>26</w:t>
        </w:r>
        <w:r w:rsidR="00C16A7F">
          <w:rPr>
            <w:webHidden/>
          </w:rPr>
          <w:fldChar w:fldCharType="end"/>
        </w:r>
      </w:hyperlink>
    </w:p>
    <w:p w14:paraId="4806A98B" w14:textId="4E580BC6" w:rsidR="005D10C6" w:rsidRPr="00942BD2" w:rsidRDefault="00DB5401" w:rsidP="009D3F3A">
      <w:pPr>
        <w:pStyle w:val="Instruction"/>
        <w:rPr>
          <w:color w:val="auto"/>
        </w:rPr>
      </w:pPr>
      <w:r w:rsidRPr="00942BD2">
        <w:rPr>
          <w:noProof/>
          <w:color w:val="auto"/>
        </w:rPr>
        <w:fldChar w:fldCharType="end"/>
      </w:r>
    </w:p>
    <w:p w14:paraId="42A3186E" w14:textId="77777777" w:rsidR="005D10C6" w:rsidRPr="00942BD2" w:rsidRDefault="005D10C6" w:rsidP="009D3F3A">
      <w:pPr>
        <w:sectPr w:rsidR="005D10C6" w:rsidRPr="00942BD2">
          <w:footerReference w:type="default" r:id="rId16"/>
          <w:pgSz w:w="12240" w:h="15840" w:code="1"/>
          <w:pgMar w:top="1440" w:right="1440" w:bottom="1440" w:left="1440" w:header="504" w:footer="504" w:gutter="0"/>
          <w:pgNumType w:fmt="lowerRoman"/>
          <w:cols w:space="720"/>
          <w:titlePg/>
        </w:sectPr>
      </w:pPr>
    </w:p>
    <w:p w14:paraId="05ED1320" w14:textId="77777777" w:rsidR="005D10C6" w:rsidRDefault="00DB5401" w:rsidP="009D3F3A">
      <w:pPr>
        <w:pStyle w:val="FrontMatterHeader"/>
      </w:pPr>
      <w:bookmarkStart w:id="1" w:name="_Toc497634056"/>
      <w:bookmarkStart w:id="2" w:name="_Toc498235584"/>
      <w:bookmarkStart w:id="3" w:name="_Toc498325024"/>
      <w:bookmarkStart w:id="4" w:name="_Toc499106663"/>
      <w:r>
        <w:lastRenderedPageBreak/>
        <w:t>List of Figures</w:t>
      </w:r>
    </w:p>
    <w:p w14:paraId="0A3001DE" w14:textId="795F1873" w:rsidR="00164F87" w:rsidRDefault="00BC4DBF">
      <w:pPr>
        <w:pStyle w:val="TableofFigures"/>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"Figure" </w:instrText>
      </w:r>
      <w:r>
        <w:rPr>
          <w:b/>
          <w:bCs/>
          <w:noProof/>
        </w:rPr>
        <w:fldChar w:fldCharType="separate"/>
      </w:r>
      <w:hyperlink w:anchor="_Toc46314476" w:history="1">
        <w:r w:rsidR="00164F87" w:rsidRPr="00A84B5C">
          <w:rPr>
            <w:rStyle w:val="Hyperlink"/>
            <w:noProof/>
          </w:rPr>
          <w:t>Figure 1. NCHS Suppression Standards</w:t>
        </w:r>
        <w:r w:rsidR="00164F87">
          <w:rPr>
            <w:noProof/>
            <w:webHidden/>
          </w:rPr>
          <w:tab/>
        </w:r>
        <w:r w:rsidR="00164F87">
          <w:rPr>
            <w:noProof/>
            <w:webHidden/>
          </w:rPr>
          <w:fldChar w:fldCharType="begin"/>
        </w:r>
        <w:r w:rsidR="00164F87">
          <w:rPr>
            <w:noProof/>
            <w:webHidden/>
          </w:rPr>
          <w:instrText xml:space="preserve"> PAGEREF _Toc46314476 \h </w:instrText>
        </w:r>
        <w:r w:rsidR="00164F87">
          <w:rPr>
            <w:noProof/>
            <w:webHidden/>
          </w:rPr>
        </w:r>
        <w:r w:rsidR="00164F87">
          <w:rPr>
            <w:noProof/>
            <w:webHidden/>
          </w:rPr>
          <w:fldChar w:fldCharType="separate"/>
        </w:r>
        <w:r w:rsidR="00164F87">
          <w:rPr>
            <w:noProof/>
            <w:webHidden/>
          </w:rPr>
          <w:t>20</w:t>
        </w:r>
        <w:r w:rsidR="00164F87">
          <w:rPr>
            <w:noProof/>
            <w:webHidden/>
          </w:rPr>
          <w:fldChar w:fldCharType="end"/>
        </w:r>
      </w:hyperlink>
    </w:p>
    <w:p w14:paraId="0CB7E701" w14:textId="6EC44DEE" w:rsidR="005D10C6" w:rsidRDefault="00BC4DBF" w:rsidP="009D3F3A">
      <w:pPr>
        <w:spacing w:after="720"/>
      </w:pPr>
      <w:r>
        <w:rPr>
          <w:b/>
          <w:bCs/>
          <w:noProof/>
        </w:rPr>
        <w:fldChar w:fldCharType="end"/>
      </w:r>
    </w:p>
    <w:p w14:paraId="0625C943" w14:textId="77777777" w:rsidR="005D10C6" w:rsidRDefault="00DB5401" w:rsidP="009D3F3A">
      <w:pPr>
        <w:pStyle w:val="FrontMatterHeader"/>
      </w:pPr>
      <w:r>
        <w:t>List of Tables</w:t>
      </w:r>
    </w:p>
    <w:p w14:paraId="2FCCF5D1" w14:textId="55D2F880" w:rsidR="00C16A7F" w:rsidRDefault="00E51065">
      <w:pPr>
        <w:pStyle w:val="TableofFigures"/>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\h \z \t "TableCaption,1,tc,1" \c "Table" </w:instrText>
      </w:r>
      <w:r>
        <w:rPr>
          <w:b/>
          <w:bCs/>
          <w:noProof/>
        </w:rPr>
        <w:fldChar w:fldCharType="separate"/>
      </w:r>
      <w:hyperlink w:anchor="_Toc46395266" w:history="1">
        <w:r w:rsidR="00C16A7F" w:rsidRPr="00777EA4">
          <w:rPr>
            <w:rStyle w:val="Hyperlink"/>
            <w:noProof/>
          </w:rPr>
          <w:t>Table 1. CODI-PQ Output Data Dictionary</w:t>
        </w:r>
        <w:r w:rsidR="00C16A7F">
          <w:rPr>
            <w:noProof/>
            <w:webHidden/>
          </w:rPr>
          <w:tab/>
        </w:r>
        <w:r w:rsidR="00C16A7F">
          <w:rPr>
            <w:noProof/>
            <w:webHidden/>
          </w:rPr>
          <w:fldChar w:fldCharType="begin"/>
        </w:r>
        <w:r w:rsidR="00C16A7F">
          <w:rPr>
            <w:noProof/>
            <w:webHidden/>
          </w:rPr>
          <w:instrText xml:space="preserve"> PAGEREF _Toc46395266 \h </w:instrText>
        </w:r>
        <w:r w:rsidR="00C16A7F">
          <w:rPr>
            <w:noProof/>
            <w:webHidden/>
          </w:rPr>
        </w:r>
        <w:r w:rsidR="00C16A7F">
          <w:rPr>
            <w:noProof/>
            <w:webHidden/>
          </w:rPr>
          <w:fldChar w:fldCharType="separate"/>
        </w:r>
        <w:r w:rsidR="00C16A7F">
          <w:rPr>
            <w:noProof/>
            <w:webHidden/>
          </w:rPr>
          <w:t>9</w:t>
        </w:r>
        <w:r w:rsidR="00C16A7F">
          <w:rPr>
            <w:noProof/>
            <w:webHidden/>
          </w:rPr>
          <w:fldChar w:fldCharType="end"/>
        </w:r>
      </w:hyperlink>
    </w:p>
    <w:p w14:paraId="64FF2D36" w14:textId="13477D67" w:rsidR="00C16A7F" w:rsidRDefault="00827BFE">
      <w:pPr>
        <w:pStyle w:val="TableofFigures"/>
        <w:tabs>
          <w:tab w:val="right" w:leader="dot" w:pos="9350"/>
        </w:tabs>
        <w:rPr>
          <w:rFonts w:asciiTheme="minorHAnsi" w:eastAsiaTheme="minorEastAsia" w:hAnsiTheme="minorHAnsi" w:cstheme="minorBidi"/>
          <w:noProof/>
          <w:sz w:val="22"/>
          <w:szCs w:val="22"/>
        </w:rPr>
      </w:pPr>
      <w:hyperlink w:anchor="_Toc46395267" w:history="1">
        <w:r w:rsidR="00C16A7F" w:rsidRPr="00777EA4">
          <w:rPr>
            <w:rStyle w:val="Hyperlink"/>
            <w:noProof/>
          </w:rPr>
          <w:t>Table 2. Example Synthetic Data</w:t>
        </w:r>
        <w:r w:rsidR="00C16A7F">
          <w:rPr>
            <w:noProof/>
            <w:webHidden/>
          </w:rPr>
          <w:tab/>
        </w:r>
        <w:r w:rsidR="00C16A7F">
          <w:rPr>
            <w:noProof/>
            <w:webHidden/>
          </w:rPr>
          <w:fldChar w:fldCharType="begin"/>
        </w:r>
        <w:r w:rsidR="00C16A7F">
          <w:rPr>
            <w:noProof/>
            <w:webHidden/>
          </w:rPr>
          <w:instrText xml:space="preserve"> PAGEREF _Toc46395267 \h </w:instrText>
        </w:r>
        <w:r w:rsidR="00C16A7F">
          <w:rPr>
            <w:noProof/>
            <w:webHidden/>
          </w:rPr>
        </w:r>
        <w:r w:rsidR="00C16A7F">
          <w:rPr>
            <w:noProof/>
            <w:webHidden/>
          </w:rPr>
          <w:fldChar w:fldCharType="separate"/>
        </w:r>
        <w:r w:rsidR="00C16A7F">
          <w:rPr>
            <w:noProof/>
            <w:webHidden/>
          </w:rPr>
          <w:t>10</w:t>
        </w:r>
        <w:r w:rsidR="00C16A7F">
          <w:rPr>
            <w:noProof/>
            <w:webHidden/>
          </w:rPr>
          <w:fldChar w:fldCharType="end"/>
        </w:r>
      </w:hyperlink>
    </w:p>
    <w:p w14:paraId="2C766C1A" w14:textId="727951FC" w:rsidR="00C16A7F" w:rsidRDefault="00827BFE">
      <w:pPr>
        <w:pStyle w:val="TableofFigures"/>
        <w:tabs>
          <w:tab w:val="right" w:leader="dot" w:pos="9350"/>
        </w:tabs>
        <w:rPr>
          <w:rFonts w:asciiTheme="minorHAnsi" w:eastAsiaTheme="minorEastAsia" w:hAnsiTheme="minorHAnsi" w:cstheme="minorBidi"/>
          <w:noProof/>
          <w:sz w:val="22"/>
          <w:szCs w:val="22"/>
        </w:rPr>
      </w:pPr>
      <w:hyperlink w:anchor="_Toc46395268" w:history="1">
        <w:r w:rsidR="00C16A7F" w:rsidRPr="00777EA4">
          <w:rPr>
            <w:rStyle w:val="Hyperlink"/>
            <w:noProof/>
          </w:rPr>
          <w:t>Table 3. Projected Year 2000 U.S. Population Proportion Distribution by Age for Age Adjusting</w:t>
        </w:r>
        <w:r w:rsidR="00C16A7F">
          <w:rPr>
            <w:noProof/>
            <w:webHidden/>
          </w:rPr>
          <w:tab/>
        </w:r>
        <w:r w:rsidR="00C16A7F">
          <w:rPr>
            <w:noProof/>
            <w:webHidden/>
          </w:rPr>
          <w:fldChar w:fldCharType="begin"/>
        </w:r>
        <w:r w:rsidR="00C16A7F">
          <w:rPr>
            <w:noProof/>
            <w:webHidden/>
          </w:rPr>
          <w:instrText xml:space="preserve"> PAGEREF _Toc46395268 \h </w:instrText>
        </w:r>
        <w:r w:rsidR="00C16A7F">
          <w:rPr>
            <w:noProof/>
            <w:webHidden/>
          </w:rPr>
        </w:r>
        <w:r w:rsidR="00C16A7F">
          <w:rPr>
            <w:noProof/>
            <w:webHidden/>
          </w:rPr>
          <w:fldChar w:fldCharType="separate"/>
        </w:r>
        <w:r w:rsidR="00C16A7F">
          <w:rPr>
            <w:noProof/>
            <w:webHidden/>
          </w:rPr>
          <w:t>14</w:t>
        </w:r>
        <w:r w:rsidR="00C16A7F">
          <w:rPr>
            <w:noProof/>
            <w:webHidden/>
          </w:rPr>
          <w:fldChar w:fldCharType="end"/>
        </w:r>
      </w:hyperlink>
    </w:p>
    <w:p w14:paraId="561DE21B" w14:textId="5DFBA0E3" w:rsidR="00C16A7F" w:rsidRDefault="00827BFE">
      <w:pPr>
        <w:pStyle w:val="TableofFigures"/>
        <w:tabs>
          <w:tab w:val="right" w:leader="dot" w:pos="9350"/>
        </w:tabs>
        <w:rPr>
          <w:rFonts w:asciiTheme="minorHAnsi" w:eastAsiaTheme="minorEastAsia" w:hAnsiTheme="minorHAnsi" w:cstheme="minorBidi"/>
          <w:noProof/>
          <w:sz w:val="22"/>
          <w:szCs w:val="22"/>
        </w:rPr>
      </w:pPr>
      <w:hyperlink w:anchor="_Toc46395269" w:history="1">
        <w:r w:rsidR="00C16A7F" w:rsidRPr="00777EA4">
          <w:rPr>
            <w:rStyle w:val="Hyperlink"/>
            <w:noProof/>
          </w:rPr>
          <w:t>Table 4. Final List of Prioritized Social Determinants of Health</w:t>
        </w:r>
        <w:r w:rsidR="00C16A7F">
          <w:rPr>
            <w:noProof/>
            <w:webHidden/>
          </w:rPr>
          <w:tab/>
        </w:r>
        <w:r w:rsidR="00C16A7F">
          <w:rPr>
            <w:noProof/>
            <w:webHidden/>
          </w:rPr>
          <w:fldChar w:fldCharType="begin"/>
        </w:r>
        <w:r w:rsidR="00C16A7F">
          <w:rPr>
            <w:noProof/>
            <w:webHidden/>
          </w:rPr>
          <w:instrText xml:space="preserve"> PAGEREF _Toc46395269 \h </w:instrText>
        </w:r>
        <w:r w:rsidR="00C16A7F">
          <w:rPr>
            <w:noProof/>
            <w:webHidden/>
          </w:rPr>
        </w:r>
        <w:r w:rsidR="00C16A7F">
          <w:rPr>
            <w:noProof/>
            <w:webHidden/>
          </w:rPr>
          <w:fldChar w:fldCharType="separate"/>
        </w:r>
        <w:r w:rsidR="00C16A7F">
          <w:rPr>
            <w:noProof/>
            <w:webHidden/>
          </w:rPr>
          <w:t>17</w:t>
        </w:r>
        <w:r w:rsidR="00C16A7F">
          <w:rPr>
            <w:noProof/>
            <w:webHidden/>
          </w:rPr>
          <w:fldChar w:fldCharType="end"/>
        </w:r>
      </w:hyperlink>
    </w:p>
    <w:p w14:paraId="53781CA5" w14:textId="45F8C108" w:rsidR="00C16A7F" w:rsidRDefault="00827BFE">
      <w:pPr>
        <w:pStyle w:val="TableofFigures"/>
        <w:tabs>
          <w:tab w:val="right" w:leader="dot" w:pos="9350"/>
        </w:tabs>
        <w:rPr>
          <w:rFonts w:asciiTheme="minorHAnsi" w:eastAsiaTheme="minorEastAsia" w:hAnsiTheme="minorHAnsi" w:cstheme="minorBidi"/>
          <w:noProof/>
          <w:sz w:val="22"/>
          <w:szCs w:val="22"/>
        </w:rPr>
      </w:pPr>
      <w:hyperlink w:anchor="_Toc46395270" w:history="1">
        <w:r w:rsidR="00C16A7F" w:rsidRPr="00777EA4">
          <w:rPr>
            <w:rStyle w:val="Hyperlink"/>
            <w:noProof/>
          </w:rPr>
          <w:t>Table 5. NCHS Data Presentation Standards for Proportions</w:t>
        </w:r>
        <w:r w:rsidR="00C16A7F">
          <w:rPr>
            <w:noProof/>
            <w:webHidden/>
          </w:rPr>
          <w:tab/>
        </w:r>
        <w:r w:rsidR="00C16A7F">
          <w:rPr>
            <w:noProof/>
            <w:webHidden/>
          </w:rPr>
          <w:fldChar w:fldCharType="begin"/>
        </w:r>
        <w:r w:rsidR="00C16A7F">
          <w:rPr>
            <w:noProof/>
            <w:webHidden/>
          </w:rPr>
          <w:instrText xml:space="preserve"> PAGEREF _Toc46395270 \h </w:instrText>
        </w:r>
        <w:r w:rsidR="00C16A7F">
          <w:rPr>
            <w:noProof/>
            <w:webHidden/>
          </w:rPr>
        </w:r>
        <w:r w:rsidR="00C16A7F">
          <w:rPr>
            <w:noProof/>
            <w:webHidden/>
          </w:rPr>
          <w:fldChar w:fldCharType="separate"/>
        </w:r>
        <w:r w:rsidR="00C16A7F">
          <w:rPr>
            <w:noProof/>
            <w:webHidden/>
          </w:rPr>
          <w:t>18</w:t>
        </w:r>
        <w:r w:rsidR="00C16A7F">
          <w:rPr>
            <w:noProof/>
            <w:webHidden/>
          </w:rPr>
          <w:fldChar w:fldCharType="end"/>
        </w:r>
      </w:hyperlink>
    </w:p>
    <w:p w14:paraId="49BBD6B7" w14:textId="41EFC2ED" w:rsidR="00F91AE1" w:rsidRDefault="00E51065" w:rsidP="009D3F3A">
      <w:pPr>
        <w:rPr>
          <w:b/>
          <w:bCs/>
          <w:noProof/>
        </w:rPr>
      </w:pPr>
      <w:r>
        <w:rPr>
          <w:b/>
          <w:bCs/>
          <w:noProof/>
        </w:rPr>
        <w:fldChar w:fldCharType="end"/>
      </w:r>
    </w:p>
    <w:p w14:paraId="4628FB67" w14:textId="77777777" w:rsidR="00F91AE1" w:rsidRDefault="00F91AE1" w:rsidP="009D3F3A">
      <w:pPr>
        <w:rPr>
          <w:b/>
          <w:bCs/>
          <w:noProof/>
        </w:rPr>
        <w:sectPr w:rsidR="00F91AE1">
          <w:pgSz w:w="12240" w:h="15840" w:code="1"/>
          <w:pgMar w:top="1440" w:right="1440" w:bottom="1440" w:left="1440" w:header="504" w:footer="504" w:gutter="0"/>
          <w:pgNumType w:fmt="lowerRoman"/>
          <w:cols w:space="720"/>
          <w:titlePg/>
        </w:sectPr>
      </w:pPr>
    </w:p>
    <w:p w14:paraId="2D417EDA" w14:textId="77777777" w:rsidR="005D10C6" w:rsidRDefault="00DB5401" w:rsidP="009D3F3A">
      <w:pPr>
        <w:pStyle w:val="Heading1"/>
        <w:spacing w:after="0"/>
      </w:pPr>
      <w:bookmarkStart w:id="5" w:name="_Toc510936693"/>
      <w:bookmarkStart w:id="6" w:name="_Toc510936873"/>
      <w:bookmarkStart w:id="7" w:name="_Toc510948564"/>
      <w:bookmarkStart w:id="8" w:name="_Toc46395229"/>
      <w:bookmarkStart w:id="9" w:name="_Toc497871702"/>
      <w:bookmarkStart w:id="10" w:name="_Toc497872046"/>
      <w:bookmarkStart w:id="11" w:name="_Toc497872814"/>
      <w:bookmarkStart w:id="12" w:name="_Toc497872969"/>
      <w:bookmarkStart w:id="13" w:name="_Toc497873017"/>
      <w:bookmarkEnd w:id="1"/>
      <w:bookmarkEnd w:id="2"/>
      <w:bookmarkEnd w:id="3"/>
      <w:bookmarkEnd w:id="4"/>
      <w:r>
        <w:lastRenderedPageBreak/>
        <w:t>Introduction</w:t>
      </w:r>
      <w:bookmarkEnd w:id="5"/>
      <w:bookmarkEnd w:id="6"/>
      <w:bookmarkEnd w:id="7"/>
      <w:bookmarkEnd w:id="8"/>
    </w:p>
    <w:p w14:paraId="44AC4245" w14:textId="76354056" w:rsidR="00490218" w:rsidRDefault="00451AC8" w:rsidP="00A3194F">
      <w:pPr>
        <w:spacing w:after="240"/>
        <w:rPr>
          <w:rFonts w:eastAsia="Verdana"/>
        </w:rPr>
      </w:pPr>
      <w:r w:rsidRPr="003E67DB">
        <w:rPr>
          <w:rFonts w:eastAsia="Verdana"/>
        </w:rPr>
        <w:t xml:space="preserve">As part of the Centers for Disease Control and </w:t>
      </w:r>
      <w:r w:rsidR="00FE4826" w:rsidRPr="003E67DB">
        <w:rPr>
          <w:rFonts w:eastAsia="Verdana"/>
        </w:rPr>
        <w:t>Prevention</w:t>
      </w:r>
      <w:r w:rsidR="000D13FC">
        <w:rPr>
          <w:rFonts w:eastAsia="Verdana"/>
        </w:rPr>
        <w:t>’</w:t>
      </w:r>
      <w:r w:rsidR="00FE4826" w:rsidRPr="003E67DB">
        <w:rPr>
          <w:rFonts w:eastAsia="Verdana"/>
        </w:rPr>
        <w:t xml:space="preserve">s </w:t>
      </w:r>
      <w:r w:rsidRPr="003E67DB">
        <w:rPr>
          <w:rFonts w:eastAsia="Verdana"/>
        </w:rPr>
        <w:t>(CDC) efforts to promote health</w:t>
      </w:r>
      <w:r w:rsidR="00C163C7">
        <w:rPr>
          <w:rFonts w:eastAsia="Verdana"/>
        </w:rPr>
        <w:t>,</w:t>
      </w:r>
      <w:r w:rsidRPr="003E67DB">
        <w:rPr>
          <w:rFonts w:eastAsia="Verdana"/>
        </w:rPr>
        <w:t xml:space="preserve"> prevent disease, injury, and disability</w:t>
      </w:r>
      <w:r w:rsidR="00A4073B">
        <w:rPr>
          <w:rFonts w:eastAsia="Verdana"/>
        </w:rPr>
        <w:t>,</w:t>
      </w:r>
      <w:r w:rsidRPr="003E67DB">
        <w:rPr>
          <w:rFonts w:eastAsia="Verdana"/>
        </w:rPr>
        <w:t xml:space="preserve"> and prepare for emerging health threats</w:t>
      </w:r>
      <w:r w:rsidR="00FE1FBE">
        <w:rPr>
          <w:rFonts w:eastAsia="Verdana"/>
        </w:rPr>
        <w:t>,</w:t>
      </w:r>
      <w:r w:rsidRPr="003E67DB">
        <w:rPr>
          <w:rFonts w:eastAsia="Verdana"/>
        </w:rPr>
        <w:t xml:space="preserve"> the Division of Nutrition, Physical Activity, and Obesity</w:t>
      </w:r>
      <w:r w:rsidR="00AA3A3D">
        <w:rPr>
          <w:rFonts w:eastAsia="Verdana"/>
        </w:rPr>
        <w:t>,</w:t>
      </w:r>
      <w:r w:rsidRPr="003E67DB">
        <w:rPr>
          <w:rFonts w:eastAsia="Verdana"/>
        </w:rPr>
        <w:t xml:space="preserve"> and </w:t>
      </w:r>
      <w:r w:rsidR="00AA3A3D">
        <w:rPr>
          <w:rFonts w:eastAsia="Verdana"/>
        </w:rPr>
        <w:t xml:space="preserve">the </w:t>
      </w:r>
      <w:r w:rsidRPr="003E67DB">
        <w:rPr>
          <w:rFonts w:eastAsia="Verdana"/>
        </w:rPr>
        <w:t xml:space="preserve">Center for Surveillance, Epidemiology, and Laboratory Services partnered with </w:t>
      </w:r>
      <w:r w:rsidR="00B92588" w:rsidRPr="00B92588">
        <w:rPr>
          <w:rFonts w:eastAsia="Verdana"/>
        </w:rPr>
        <w:t xml:space="preserve">the </w:t>
      </w:r>
      <w:r w:rsidR="00685740">
        <w:rPr>
          <w:rFonts w:eastAsia="Verdana"/>
        </w:rPr>
        <w:t>Centers for Medicare &amp; Medicaid Services</w:t>
      </w:r>
      <w:r w:rsidR="00685740" w:rsidRPr="00B92588">
        <w:rPr>
          <w:rFonts w:eastAsia="Verdana"/>
        </w:rPr>
        <w:t xml:space="preserve"> </w:t>
      </w:r>
      <w:r w:rsidR="00B92588" w:rsidRPr="00B92588">
        <w:rPr>
          <w:rFonts w:eastAsia="Verdana"/>
        </w:rPr>
        <w:t>Alliance to Modernize Healthcare federally funded research and development center (Health FFRDC)</w:t>
      </w:r>
      <w:r w:rsidRPr="003E67DB">
        <w:rPr>
          <w:rFonts w:eastAsia="Verdana"/>
        </w:rPr>
        <w:t xml:space="preserve"> </w:t>
      </w:r>
      <w:r w:rsidR="00AA3A3D">
        <w:rPr>
          <w:rFonts w:eastAsia="Verdana"/>
        </w:rPr>
        <w:t>on</w:t>
      </w:r>
      <w:r w:rsidR="00AA3A3D" w:rsidRPr="003E67DB">
        <w:rPr>
          <w:rFonts w:eastAsia="Verdana"/>
        </w:rPr>
        <w:t xml:space="preserve"> </w:t>
      </w:r>
      <w:r w:rsidRPr="003E67DB">
        <w:rPr>
          <w:rFonts w:eastAsia="Verdana"/>
        </w:rPr>
        <w:t>the Childhood Obesity Data Initiative (CODI). CODI will expand the ability to capture, standardize, integrate, and query existing patient-level electronic health record (EHR)</w:t>
      </w:r>
      <w:r w:rsidR="001E7478">
        <w:rPr>
          <w:rFonts w:eastAsia="Verdana"/>
        </w:rPr>
        <w:t xml:space="preserve"> and </w:t>
      </w:r>
      <w:r w:rsidR="007D3000">
        <w:rPr>
          <w:rFonts w:eastAsia="Verdana"/>
        </w:rPr>
        <w:t xml:space="preserve">non-clinical </w:t>
      </w:r>
      <w:r w:rsidRPr="003E67DB">
        <w:rPr>
          <w:rFonts w:eastAsia="Verdana"/>
        </w:rPr>
        <w:t>community data</w:t>
      </w:r>
      <w:r w:rsidR="004E77F0">
        <w:rPr>
          <w:rFonts w:eastAsia="Verdana"/>
        </w:rPr>
        <w:t>.</w:t>
      </w:r>
      <w:r w:rsidRPr="003E67DB">
        <w:rPr>
          <w:rFonts w:eastAsia="Verdana"/>
        </w:rPr>
        <w:t xml:space="preserve"> </w:t>
      </w:r>
      <w:r w:rsidR="00490218">
        <w:rPr>
          <w:rFonts w:eastAsia="Verdana"/>
        </w:rPr>
        <w:t>To accomplish this, open</w:t>
      </w:r>
      <w:r w:rsidR="000D13FC">
        <w:rPr>
          <w:rFonts w:eastAsia="Verdana"/>
        </w:rPr>
        <w:t xml:space="preserve"> </w:t>
      </w:r>
      <w:r w:rsidR="00490218">
        <w:rPr>
          <w:rFonts w:eastAsia="Verdana"/>
        </w:rPr>
        <w:t xml:space="preserve">source tools and resources were updated to support childhood obesity research using distributed health data network (DHDN) infrastructure. DHDNs </w:t>
      </w:r>
      <w:r w:rsidR="00490218" w:rsidRPr="00490218">
        <w:rPr>
          <w:rFonts w:eastAsia="Verdana"/>
        </w:rPr>
        <w:t xml:space="preserve">are traditionally networks of clinical organizations that map their </w:t>
      </w:r>
      <w:r w:rsidR="00490218">
        <w:rPr>
          <w:rFonts w:eastAsia="Verdana"/>
        </w:rPr>
        <w:t xml:space="preserve">EHR </w:t>
      </w:r>
      <w:r w:rsidR="00490218" w:rsidRPr="00490218">
        <w:rPr>
          <w:rFonts w:eastAsia="Verdana"/>
        </w:rPr>
        <w:t>data concepts to a common data model so that researchers can query similar information across organizations</w:t>
      </w:r>
      <w:r w:rsidR="00490218">
        <w:rPr>
          <w:rFonts w:eastAsia="Verdana"/>
        </w:rPr>
        <w:t>.</w:t>
      </w:r>
    </w:p>
    <w:p w14:paraId="1F771913" w14:textId="5558E226" w:rsidR="00467687" w:rsidRDefault="00D14D57" w:rsidP="00D14D57">
      <w:pPr>
        <w:rPr>
          <w:rFonts w:eastAsia="Verdana"/>
        </w:rPr>
      </w:pPr>
      <w:r>
        <w:rPr>
          <w:rFonts w:eastAsia="Verdana"/>
        </w:rPr>
        <w:t>As part of this effort, the Health FFRDC developed open</w:t>
      </w:r>
      <w:r w:rsidR="000D13FC">
        <w:rPr>
          <w:rFonts w:eastAsia="Verdana"/>
        </w:rPr>
        <w:t xml:space="preserve"> </w:t>
      </w:r>
      <w:r>
        <w:rPr>
          <w:rFonts w:eastAsia="Verdana"/>
        </w:rPr>
        <w:t>source queries that can be used to estimate prevalence among children</w:t>
      </w:r>
      <w:r w:rsidR="00504041">
        <w:rPr>
          <w:rFonts w:eastAsia="Verdana"/>
        </w:rPr>
        <w:t xml:space="preserve"> and teens</w:t>
      </w:r>
      <w:r>
        <w:rPr>
          <w:rFonts w:eastAsia="Verdana"/>
        </w:rPr>
        <w:t xml:space="preserve"> by weight category using convenience samples (</w:t>
      </w:r>
      <w:r w:rsidR="001F544E">
        <w:rPr>
          <w:rFonts w:eastAsia="Verdana"/>
        </w:rPr>
        <w:t>i.e.</w:t>
      </w:r>
      <w:r>
        <w:rPr>
          <w:rFonts w:eastAsia="Verdana"/>
        </w:rPr>
        <w:t>, non-probability samples) typical of data generated solely from clinical settings and from EHRs.</w:t>
      </w:r>
      <w:r w:rsidR="009458C3" w:rsidRPr="009458C3">
        <w:t xml:space="preserve"> </w:t>
      </w:r>
      <w:r w:rsidR="00467687">
        <w:rPr>
          <w:rFonts w:eastAsia="Verdana"/>
        </w:rPr>
        <w:t xml:space="preserve">This document describes how to use </w:t>
      </w:r>
      <w:r w:rsidR="00467687" w:rsidRPr="007D3000">
        <w:rPr>
          <w:rFonts w:eastAsia="Verdana"/>
        </w:rPr>
        <w:t xml:space="preserve">the </w:t>
      </w:r>
      <w:r w:rsidR="007D3000" w:rsidRPr="00A3194F">
        <w:rPr>
          <w:rFonts w:eastAsia="Verdana"/>
        </w:rPr>
        <w:t>CODI</w:t>
      </w:r>
      <w:r w:rsidR="00467687" w:rsidRPr="007D3000">
        <w:rPr>
          <w:rFonts w:eastAsia="Verdana"/>
        </w:rPr>
        <w:t xml:space="preserve"> prevalence queries using</w:t>
      </w:r>
      <w:r w:rsidR="00467687">
        <w:rPr>
          <w:rFonts w:eastAsia="Verdana"/>
        </w:rPr>
        <w:t xml:space="preserve"> the selected technology</w:t>
      </w:r>
      <w:r w:rsidR="00442B92">
        <w:rPr>
          <w:rFonts w:eastAsia="Verdana"/>
        </w:rPr>
        <w:t xml:space="preserve"> as well as the nuances within the queries that generate </w:t>
      </w:r>
      <w:r w:rsidR="00AA10EC">
        <w:rPr>
          <w:rFonts w:eastAsia="Verdana"/>
        </w:rPr>
        <w:t xml:space="preserve">estimates for three different geographic levels (state, state and </w:t>
      </w:r>
      <w:r w:rsidR="000D13FC">
        <w:rPr>
          <w:rFonts w:eastAsia="Verdana"/>
        </w:rPr>
        <w:t xml:space="preserve">ZIP </w:t>
      </w:r>
      <w:r w:rsidR="00490218">
        <w:rPr>
          <w:rFonts w:eastAsia="Verdana"/>
        </w:rPr>
        <w:t xml:space="preserve">code tabulation area </w:t>
      </w:r>
      <w:r w:rsidR="000D13FC">
        <w:rPr>
          <w:rFonts w:eastAsia="Verdana"/>
        </w:rPr>
        <w:t xml:space="preserve">[three </w:t>
      </w:r>
      <w:r w:rsidR="00490218">
        <w:rPr>
          <w:rFonts w:eastAsia="Verdana"/>
        </w:rPr>
        <w:t>digit</w:t>
      </w:r>
      <w:r w:rsidR="000D13FC">
        <w:rPr>
          <w:rFonts w:eastAsia="Verdana"/>
        </w:rPr>
        <w:t>]</w:t>
      </w:r>
      <w:r w:rsidR="00490218">
        <w:rPr>
          <w:rFonts w:eastAsia="Verdana"/>
        </w:rPr>
        <w:t xml:space="preserve"> </w:t>
      </w:r>
      <w:r w:rsidR="000D13FC">
        <w:rPr>
          <w:rFonts w:eastAsia="Verdana"/>
        </w:rPr>
        <w:t>[</w:t>
      </w:r>
      <w:r w:rsidR="00154ACC">
        <w:rPr>
          <w:rFonts w:eastAsia="Verdana"/>
        </w:rPr>
        <w:t>ZCTA-3</w:t>
      </w:r>
      <w:r w:rsidR="000D13FC">
        <w:rPr>
          <w:rFonts w:eastAsia="Verdana"/>
        </w:rPr>
        <w:t>]</w:t>
      </w:r>
      <w:r w:rsidR="00AA10EC">
        <w:rPr>
          <w:rFonts w:eastAsia="Verdana"/>
        </w:rPr>
        <w:t>, and state and county)</w:t>
      </w:r>
      <w:r w:rsidR="00467687">
        <w:rPr>
          <w:rFonts w:eastAsia="Verdana"/>
        </w:rPr>
        <w:t>.</w:t>
      </w:r>
      <w:r w:rsidR="00442B92">
        <w:rPr>
          <w:rFonts w:eastAsia="Verdana"/>
        </w:rPr>
        <w:t xml:space="preserve"> The queries will be reference</w:t>
      </w:r>
      <w:r w:rsidR="008D619B">
        <w:rPr>
          <w:rFonts w:eastAsia="Verdana"/>
        </w:rPr>
        <w:t>d</w:t>
      </w:r>
      <w:r w:rsidR="00442B92">
        <w:rPr>
          <w:rFonts w:eastAsia="Verdana"/>
        </w:rPr>
        <w:t xml:space="preserve"> as the CODI prevalence queries (CODI-PQ</w:t>
      </w:r>
      <w:r w:rsidR="000D13FC">
        <w:rPr>
          <w:rFonts w:eastAsia="Verdana"/>
        </w:rPr>
        <w:t>s</w:t>
      </w:r>
      <w:r w:rsidR="00442B92">
        <w:rPr>
          <w:rFonts w:eastAsia="Verdana"/>
        </w:rPr>
        <w:t>).</w:t>
      </w:r>
      <w:r w:rsidR="00467687">
        <w:rPr>
          <w:rFonts w:eastAsia="Verdana"/>
        </w:rPr>
        <w:t xml:space="preserve"> </w:t>
      </w:r>
    </w:p>
    <w:p w14:paraId="086186BE" w14:textId="77777777" w:rsidR="005D10C6" w:rsidRDefault="00DB5401" w:rsidP="00A3194F">
      <w:pPr>
        <w:pStyle w:val="Heading2"/>
        <w:spacing w:after="0"/>
      </w:pPr>
      <w:bookmarkStart w:id="14" w:name="_Toc46395230"/>
      <w:r>
        <w:t>Background</w:t>
      </w:r>
      <w:bookmarkEnd w:id="14"/>
    </w:p>
    <w:p w14:paraId="207ADC73" w14:textId="32054C28" w:rsidR="00467687" w:rsidRDefault="00467687" w:rsidP="009D3F3A">
      <w:pPr>
        <w:rPr>
          <w:rFonts w:eastAsia="Verdana"/>
        </w:rPr>
      </w:pPr>
      <w:bookmarkStart w:id="15" w:name="_Toc498235586"/>
      <w:r>
        <w:rPr>
          <w:rFonts w:eastAsia="Verdana"/>
        </w:rPr>
        <w:t xml:space="preserve">Individuals are likely to have data at multiple organizations. </w:t>
      </w:r>
      <w:r w:rsidR="00D16598">
        <w:rPr>
          <w:rFonts w:eastAsia="Verdana"/>
        </w:rPr>
        <w:t>I</w:t>
      </w:r>
      <w:r>
        <w:rPr>
          <w:rFonts w:eastAsia="Verdana"/>
        </w:rPr>
        <w:t>t is critical to be able to use linked information gathered from different places</w:t>
      </w:r>
      <w:r w:rsidR="00D16598">
        <w:rPr>
          <w:rFonts w:eastAsia="Verdana"/>
        </w:rPr>
        <w:t xml:space="preserve"> to construct a complete picture of an individual for research purposes</w:t>
      </w:r>
      <w:r>
        <w:rPr>
          <w:rFonts w:eastAsia="Verdana"/>
        </w:rPr>
        <w:t>.</w:t>
      </w:r>
    </w:p>
    <w:p w14:paraId="2467EED0" w14:textId="29DE8AD2" w:rsidR="001476F7" w:rsidRDefault="00442B92" w:rsidP="00483D86">
      <w:pPr>
        <w:spacing w:before="240"/>
        <w:rPr>
          <w:rFonts w:eastAsia="Verdana"/>
        </w:rPr>
      </w:pPr>
      <w:r>
        <w:rPr>
          <w:rFonts w:eastAsia="Verdana"/>
        </w:rPr>
        <w:t>CODI-PQ</w:t>
      </w:r>
      <w:r w:rsidR="00467687">
        <w:rPr>
          <w:rFonts w:eastAsia="Verdana"/>
        </w:rPr>
        <w:t xml:space="preserve"> is a process where</w:t>
      </w:r>
      <w:r w:rsidR="00915AE7">
        <w:rPr>
          <w:rFonts w:eastAsia="Verdana"/>
        </w:rPr>
        <w:t>by</w:t>
      </w:r>
      <w:r w:rsidR="00467687">
        <w:rPr>
          <w:rFonts w:eastAsia="Verdana"/>
        </w:rPr>
        <w:t xml:space="preserve"> researchers create childhood obesity prevalence estimates </w:t>
      </w:r>
      <w:r w:rsidR="005D184E">
        <w:rPr>
          <w:rFonts w:eastAsia="Verdana"/>
        </w:rPr>
        <w:t xml:space="preserve">from </w:t>
      </w:r>
      <w:r w:rsidR="00702A5B">
        <w:rPr>
          <w:rFonts w:eastAsia="Verdana"/>
        </w:rPr>
        <w:t xml:space="preserve">non-probability samples derived from </w:t>
      </w:r>
      <w:r w:rsidR="00D16598">
        <w:rPr>
          <w:rFonts w:eastAsia="Verdana"/>
        </w:rPr>
        <w:t>EHR</w:t>
      </w:r>
      <w:r w:rsidR="00702A5B">
        <w:rPr>
          <w:rFonts w:eastAsia="Verdana"/>
        </w:rPr>
        <w:t xml:space="preserve"> data</w:t>
      </w:r>
      <w:r w:rsidR="00D16598">
        <w:rPr>
          <w:rFonts w:eastAsia="Verdana"/>
        </w:rPr>
        <w:t xml:space="preserve">. </w:t>
      </w:r>
      <w:r w:rsidR="00BB43C9">
        <w:rPr>
          <w:rFonts w:eastAsia="Verdana"/>
        </w:rPr>
        <w:t xml:space="preserve">Some researchers criticize the </w:t>
      </w:r>
      <w:r w:rsidR="00D16598" w:rsidRPr="00D16598">
        <w:rPr>
          <w:rFonts w:eastAsia="Verdana"/>
        </w:rPr>
        <w:t xml:space="preserve">use of EHR data for characterizing population health </w:t>
      </w:r>
      <w:r w:rsidR="00BB43C9">
        <w:rPr>
          <w:rFonts w:eastAsia="Verdana"/>
        </w:rPr>
        <w:t xml:space="preserve">and </w:t>
      </w:r>
      <w:r w:rsidR="00D16598" w:rsidRPr="00D16598">
        <w:rPr>
          <w:rFonts w:eastAsia="Verdana"/>
        </w:rPr>
        <w:t>assert that EHR data</w:t>
      </w:r>
      <w:r w:rsidR="000D13FC">
        <w:rPr>
          <w:rFonts w:eastAsia="Verdana"/>
        </w:rPr>
        <w:t xml:space="preserve"> </w:t>
      </w:r>
      <w:r w:rsidR="00D16598" w:rsidRPr="00D16598">
        <w:rPr>
          <w:rFonts w:eastAsia="Verdana"/>
        </w:rPr>
        <w:t xml:space="preserve">sets are </w:t>
      </w:r>
      <w:r w:rsidR="001476F7">
        <w:rPr>
          <w:rFonts w:eastAsia="Verdana"/>
        </w:rPr>
        <w:t xml:space="preserve">created from </w:t>
      </w:r>
      <w:r w:rsidR="00D16598" w:rsidRPr="00D16598">
        <w:rPr>
          <w:rFonts w:eastAsia="Verdana"/>
        </w:rPr>
        <w:t>convenience samples</w:t>
      </w:r>
      <w:r w:rsidR="007528E5">
        <w:rPr>
          <w:rFonts w:eastAsia="Verdana"/>
        </w:rPr>
        <w:t xml:space="preserve"> </w:t>
      </w:r>
      <w:r w:rsidR="007528E5">
        <w:rPr>
          <w:rFonts w:eastAsia="Verdana"/>
        </w:rPr>
        <w:fldChar w:fldCharType="begin">
          <w:fldData xml:space="preserve">PEVuZE5vdGU+PENpdGU+PEF1dGhvcj5GbG9vZDwvQXV0aG9yPjxZZWFyPjIwMTU8L1llYXI+PFJl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</w:fldData>
        </w:fldChar>
      </w:r>
      <w:r w:rsidR="007528E5">
        <w:rPr>
          <w:rFonts w:eastAsia="Verdana"/>
        </w:rPr>
        <w:instrText xml:space="preserve"> ADDIN EN.CITE </w:instrText>
      </w:r>
      <w:r w:rsidR="007528E5">
        <w:rPr>
          <w:rFonts w:eastAsia="Verdana"/>
        </w:rPr>
        <w:fldChar w:fldCharType="begin">
          <w:fldData xml:space="preserve">PEVuZE5vdGU+PENpdGU+PEF1dGhvcj5GbG9vZDwvQXV0aG9yPjxZZWFyPjIwMTU8L1llYXI+PFJl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</w:fldData>
        </w:fldChar>
      </w:r>
      <w:r w:rsidR="007528E5">
        <w:rPr>
          <w:rFonts w:eastAsia="Verdana"/>
        </w:rPr>
        <w:instrText xml:space="preserve"> ADDIN EN.CITE.DATA </w:instrText>
      </w:r>
      <w:r w:rsidR="007528E5">
        <w:rPr>
          <w:rFonts w:eastAsia="Verdana"/>
        </w:rPr>
      </w:r>
      <w:r w:rsidR="007528E5">
        <w:rPr>
          <w:rFonts w:eastAsia="Verdana"/>
        </w:rPr>
        <w:fldChar w:fldCharType="end"/>
      </w:r>
      <w:r w:rsidR="007528E5">
        <w:rPr>
          <w:rFonts w:eastAsia="Verdana"/>
        </w:rPr>
      </w:r>
      <w:r w:rsidR="007528E5">
        <w:rPr>
          <w:rFonts w:eastAsia="Verdana"/>
        </w:rPr>
        <w:fldChar w:fldCharType="separate"/>
      </w:r>
      <w:r w:rsidR="007528E5">
        <w:rPr>
          <w:rFonts w:eastAsia="Verdana"/>
          <w:noProof/>
        </w:rPr>
        <w:t>(Flood et al., 2015)</w:t>
      </w:r>
      <w:r w:rsidR="007528E5">
        <w:rPr>
          <w:rFonts w:eastAsia="Verdana"/>
        </w:rPr>
        <w:fldChar w:fldCharType="end"/>
      </w:r>
      <w:r w:rsidR="00D16598" w:rsidRPr="00D16598">
        <w:rPr>
          <w:rFonts w:eastAsia="Verdana"/>
        </w:rPr>
        <w:t>.</w:t>
      </w:r>
      <w:r w:rsidR="00BB43C9">
        <w:rPr>
          <w:rFonts w:eastAsia="Verdana"/>
        </w:rPr>
        <w:t xml:space="preserve"> See </w:t>
      </w:r>
      <w:r w:rsidR="00915AE7">
        <w:rPr>
          <w:rFonts w:eastAsia="Verdana"/>
        </w:rPr>
        <w:t>the L</w:t>
      </w:r>
      <w:r w:rsidR="00BB43C9">
        <w:rPr>
          <w:rFonts w:eastAsia="Verdana"/>
        </w:rPr>
        <w:t>imitations</w:t>
      </w:r>
      <w:r w:rsidR="00915AE7">
        <w:rPr>
          <w:rFonts w:eastAsia="Verdana"/>
        </w:rPr>
        <w:t xml:space="preserve"> section</w:t>
      </w:r>
      <w:r w:rsidR="00BB43C9">
        <w:rPr>
          <w:rFonts w:eastAsia="Verdana"/>
        </w:rPr>
        <w:t xml:space="preserve"> for more information.</w:t>
      </w:r>
      <w:r w:rsidR="001476F7">
        <w:rPr>
          <w:rFonts w:eastAsia="Verdana"/>
        </w:rPr>
        <w:t xml:space="preserve"> Several strategies are used to overcome possible biases within the </w:t>
      </w:r>
      <w:r w:rsidR="00A40DF0">
        <w:rPr>
          <w:rFonts w:eastAsia="Verdana"/>
        </w:rPr>
        <w:t xml:space="preserve">CODI </w:t>
      </w:r>
      <w:r w:rsidR="001476F7">
        <w:rPr>
          <w:rFonts w:eastAsia="Verdana"/>
        </w:rPr>
        <w:t>prevalence estimation</w:t>
      </w:r>
      <w:r w:rsidR="000D13FC">
        <w:rPr>
          <w:rFonts w:eastAsia="Verdana"/>
        </w:rPr>
        <w:t>,</w:t>
      </w:r>
      <w:r w:rsidR="001476F7" w:rsidRPr="001476F7">
        <w:rPr>
          <w:rFonts w:eastAsia="Verdana"/>
        </w:rPr>
        <w:t xml:space="preserve"> including implementati</w:t>
      </w:r>
      <w:r w:rsidR="001476F7">
        <w:rPr>
          <w:rFonts w:eastAsia="Verdana"/>
        </w:rPr>
        <w:t>on of unique patient identifier</w:t>
      </w:r>
      <w:r w:rsidR="001476F7" w:rsidRPr="001476F7">
        <w:rPr>
          <w:rFonts w:eastAsia="Verdana"/>
        </w:rPr>
        <w:t xml:space="preserve">, adoption of standardized rules for inclusion/exclusion criteria, </w:t>
      </w:r>
      <w:r w:rsidR="006C1FA8">
        <w:rPr>
          <w:rFonts w:eastAsia="Verdana"/>
        </w:rPr>
        <w:t xml:space="preserve">as well as </w:t>
      </w:r>
      <w:r w:rsidR="001476F7" w:rsidRPr="001476F7">
        <w:rPr>
          <w:rFonts w:eastAsia="Verdana"/>
        </w:rPr>
        <w:t>statistical procedures for data harmonization</w:t>
      </w:r>
      <w:r w:rsidR="00A909B7">
        <w:rPr>
          <w:rFonts w:eastAsia="Verdana"/>
        </w:rPr>
        <w:t>, weighting,</w:t>
      </w:r>
      <w:r w:rsidR="001476F7" w:rsidRPr="001476F7">
        <w:rPr>
          <w:rFonts w:eastAsia="Verdana"/>
        </w:rPr>
        <w:t xml:space="preserve"> and analysis</w:t>
      </w:r>
      <w:r w:rsidR="007528E5">
        <w:rPr>
          <w:rFonts w:eastAsia="Verdana"/>
        </w:rPr>
        <w:t xml:space="preserve"> </w:t>
      </w:r>
      <w:r w:rsidR="007528E5">
        <w:rPr>
          <w:rFonts w:eastAsia="Verdana"/>
        </w:rPr>
        <w:fldChar w:fldCharType="begin"/>
      </w:r>
      <w:r w:rsidR="007528E5">
        <w:rPr>
          <w:rFonts w:eastAsia="Verdana"/>
        </w:rPr>
        <w:instrText xml:space="preserve"> ADDIN EN.CITE &lt;EndNote&gt;&lt;Cite&gt;&lt;Author&gt;Bower&lt;/Author&gt;&lt;Year&gt;2017&lt;/Year&gt;&lt;RecNum&gt;1&lt;/RecNum&gt;&lt;DisplayText&gt;(Bower, Patel, Rudy, &amp;amp; Felix, 2017)&lt;/DisplayText&gt;&lt;record&gt;&lt;rec-number&gt;1&lt;/rec-number&gt;&lt;foreign-keys&gt;&lt;key app="EN" db-id="wd52f0xtgeps52est97x29w6xs5fvs2p02rf" timestamp="1594144414"&gt;1&lt;/key&gt;&lt;/foreign-keys&gt;&lt;ref-type name="Journal Article"&gt;17&lt;/ref-type&gt;&lt;contributors&gt;&lt;authors&gt;&lt;author&gt;Bower, Julie K.&lt;/author&gt;&lt;author&gt;Patel, Sejal&lt;/author&gt;&lt;author&gt;Rudy, Joyce E.&lt;/author&gt;&lt;author&gt;Felix, Ashley S.&lt;/author&gt;&lt;/authors&gt;&lt;/contributors&gt;&lt;titles&gt;&lt;title&gt;Addressing Bias in Electronic Health Record-Based Surveillance of Cardiovascular Disease Risk: Finding the Signal Through the Noise&lt;/title&gt;&lt;secondary-title&gt;Current epidemiology reports&lt;/secondary-title&gt;&lt;alt-title&gt;Curr Epidemiol Rep&lt;/alt-title&gt;&lt;/titles&gt;&lt;periodical&gt;&lt;full-title&gt;Current epidemiology reports&lt;/full-title&gt;&lt;abbr-1&gt;Curr Epidemiol Rep&lt;/abbr-1&gt;&lt;/periodical&gt;&lt;alt-periodical&gt;&lt;full-title&gt;Current epidemiology reports&lt;/full-title&gt;&lt;abbr-1&gt;Curr Epidemiol Rep&lt;/abbr-1&gt;&lt;/alt-periodical&gt;&lt;pages&gt;346-352&lt;/pages&gt;&lt;volume&gt;4&lt;/volume&gt;&lt;number&gt;4&lt;/number&gt;&lt;edition&gt;2017/11/02&lt;/edition&gt;&lt;keywords&gt;&lt;keyword&gt;bias&lt;/keyword&gt;&lt;keyword&gt;cardiovascular disease&lt;/keyword&gt;&lt;keyword&gt;electronic health record&lt;/keyword&gt;&lt;keyword&gt;epidemiology&lt;/keyword&gt;&lt;keyword&gt;risk factors&lt;/keyword&gt;&lt;/keywords&gt;&lt;dates&gt;&lt;year&gt;2017&lt;/year&gt;&lt;/dates&gt;&lt;isbn&gt;2196-2995&lt;/isbn&gt;&lt;accession-num&gt;31223556&lt;/accession-num&gt;&lt;urls&gt;&lt;related-urls&gt;&lt;url&gt;https://pubmed.ncbi.nlm.nih.gov/31223556&lt;/url&gt;&lt;url&gt;https://www.ncbi.nlm.nih.gov/pmc/articles/PMC6585457/&lt;/url&gt;&lt;/related-urls&gt;&lt;/urls&gt;&lt;electronic-resource-num&gt;10.1007/s40471-017-0130-z&lt;/electronic-resource-num&gt;&lt;remote-database-name&gt;PubMed&lt;/remote-database-name&gt;&lt;language&gt;eng&lt;/language&gt;&lt;/record&gt;&lt;/Cite&gt;&lt;/EndNote&gt;</w:instrText>
      </w:r>
      <w:r w:rsidR="007528E5">
        <w:rPr>
          <w:rFonts w:eastAsia="Verdana"/>
        </w:rPr>
        <w:fldChar w:fldCharType="separate"/>
      </w:r>
      <w:r w:rsidR="007528E5">
        <w:rPr>
          <w:rFonts w:eastAsia="Verdana"/>
          <w:noProof/>
        </w:rPr>
        <w:t>(Bower, Patel, Rudy, &amp; Felix, 2017)</w:t>
      </w:r>
      <w:r w:rsidR="007528E5">
        <w:rPr>
          <w:rFonts w:eastAsia="Verdana"/>
        </w:rPr>
        <w:fldChar w:fldCharType="end"/>
      </w:r>
      <w:r w:rsidR="001476F7" w:rsidRPr="001476F7">
        <w:rPr>
          <w:rFonts w:eastAsia="Verdana"/>
        </w:rPr>
        <w:t>.</w:t>
      </w:r>
      <w:r w:rsidR="00A909B7">
        <w:rPr>
          <w:rFonts w:eastAsia="Verdana"/>
        </w:rPr>
        <w:t xml:space="preserve"> </w:t>
      </w:r>
    </w:p>
    <w:p w14:paraId="0B0055D2" w14:textId="4BCADDC6" w:rsidR="00A40DF0" w:rsidRDefault="00A40DF0" w:rsidP="00483D86">
      <w:pPr>
        <w:pStyle w:val="NormalInstructions"/>
        <w:spacing w:before="240"/>
        <w:rPr>
          <w:color w:val="auto"/>
        </w:rPr>
      </w:pPr>
      <w:r>
        <w:rPr>
          <w:color w:val="auto"/>
        </w:rPr>
        <w:t xml:space="preserve">The </w:t>
      </w:r>
      <w:r w:rsidR="00F937B0">
        <w:rPr>
          <w:color w:val="auto"/>
        </w:rPr>
        <w:t>algorithms</w:t>
      </w:r>
      <w:r>
        <w:rPr>
          <w:color w:val="auto"/>
        </w:rPr>
        <w:t xml:space="preserve"> described in this document</w:t>
      </w:r>
      <w:r w:rsidR="00C25B75">
        <w:rPr>
          <w:color w:val="auto"/>
        </w:rPr>
        <w:t>,</w:t>
      </w:r>
      <w:r w:rsidR="00F937B0">
        <w:rPr>
          <w:color w:val="auto"/>
        </w:rPr>
        <w:t xml:space="preserve"> </w:t>
      </w:r>
      <w:r>
        <w:rPr>
          <w:color w:val="auto"/>
        </w:rPr>
        <w:t xml:space="preserve">were </w:t>
      </w:r>
      <w:r w:rsidR="00F937B0">
        <w:rPr>
          <w:color w:val="auto"/>
        </w:rPr>
        <w:t xml:space="preserve">designed to </w:t>
      </w:r>
    </w:p>
    <w:p w14:paraId="26E90F64" w14:textId="7FD2525C" w:rsidR="00A40DF0" w:rsidRDefault="00A40DF0" w:rsidP="00A3194F">
      <w:pPr>
        <w:pStyle w:val="NumberedList"/>
      </w:pPr>
      <w:r>
        <w:t>impute race</w:t>
      </w:r>
      <w:r w:rsidR="00E52A41">
        <w:t xml:space="preserve"> </w:t>
      </w:r>
      <w:r>
        <w:t>for children</w:t>
      </w:r>
      <w:r w:rsidR="00504041">
        <w:t xml:space="preserve"> and teens</w:t>
      </w:r>
      <w:r>
        <w:t xml:space="preserve"> missing race information</w:t>
      </w:r>
      <w:r w:rsidR="00E52A41">
        <w:t xml:space="preserve">, and </w:t>
      </w:r>
    </w:p>
    <w:p w14:paraId="56002859" w14:textId="282B4715" w:rsidR="00F937B0" w:rsidRDefault="008D619B" w:rsidP="00A3194F">
      <w:pPr>
        <w:pStyle w:val="NumberedList"/>
      </w:pPr>
      <w:r>
        <w:t xml:space="preserve">create </w:t>
      </w:r>
      <w:r w:rsidR="00F937B0">
        <w:t>estimate childhood obesity</w:t>
      </w:r>
      <w:r w:rsidR="00A40DF0">
        <w:t xml:space="preserve"> prevalence by weight categories</w:t>
      </w:r>
      <w:r w:rsidR="000D13FC">
        <w:t>,</w:t>
      </w:r>
      <w:r w:rsidR="00A40DF0">
        <w:t xml:space="preserve"> including</w:t>
      </w:r>
      <w:r w:rsidR="00F937B0">
        <w:t>:</w:t>
      </w:r>
    </w:p>
    <w:p w14:paraId="5F18C0F0" w14:textId="77777777" w:rsidR="00F937B0" w:rsidRDefault="00F937B0" w:rsidP="00A3194F">
      <w:pPr>
        <w:pStyle w:val="NumberedList2bulleted"/>
      </w:pPr>
      <w:r w:rsidRPr="00A3194F">
        <w:rPr>
          <w:b/>
          <w:bCs w:val="0"/>
        </w:rPr>
        <w:t>Underweight</w:t>
      </w:r>
      <w:r>
        <w:t>: less than 5</w:t>
      </w:r>
      <w:r>
        <w:rPr>
          <w:vertAlign w:val="superscript"/>
        </w:rPr>
        <w:t>th</w:t>
      </w:r>
      <w:r>
        <w:t xml:space="preserve"> percentile</w:t>
      </w:r>
    </w:p>
    <w:p w14:paraId="53AE9286" w14:textId="77777777" w:rsidR="00F937B0" w:rsidRDefault="00F937B0" w:rsidP="00A3194F">
      <w:pPr>
        <w:pStyle w:val="NumberedList2bulleted"/>
      </w:pPr>
      <w:r w:rsidRPr="00A3194F">
        <w:rPr>
          <w:b/>
          <w:bCs w:val="0"/>
        </w:rPr>
        <w:t>Healthy Weight</w:t>
      </w:r>
      <w:r>
        <w:t>: 5</w:t>
      </w:r>
      <w:r>
        <w:rPr>
          <w:vertAlign w:val="superscript"/>
        </w:rPr>
        <w:t>th</w:t>
      </w:r>
      <w:r>
        <w:t xml:space="preserve"> percentile to less than the 85</w:t>
      </w:r>
      <w:r>
        <w:rPr>
          <w:vertAlign w:val="superscript"/>
        </w:rPr>
        <w:t>th</w:t>
      </w:r>
      <w:r>
        <w:t xml:space="preserve"> percentile</w:t>
      </w:r>
    </w:p>
    <w:p w14:paraId="6B3808A0" w14:textId="77777777" w:rsidR="00F937B0" w:rsidRDefault="00F937B0" w:rsidP="00A3194F">
      <w:pPr>
        <w:pStyle w:val="NumberedList2bulleted"/>
      </w:pPr>
      <w:r w:rsidRPr="00A3194F">
        <w:rPr>
          <w:b/>
          <w:bCs w:val="0"/>
        </w:rPr>
        <w:t>Overweight</w:t>
      </w:r>
      <w:r>
        <w:t>: 85</w:t>
      </w:r>
      <w:r>
        <w:rPr>
          <w:vertAlign w:val="superscript"/>
        </w:rPr>
        <w:t>th</w:t>
      </w:r>
      <w:r>
        <w:t xml:space="preserve"> to less than the 95</w:t>
      </w:r>
      <w:r>
        <w:rPr>
          <w:vertAlign w:val="superscript"/>
        </w:rPr>
        <w:t>th</w:t>
      </w:r>
      <w:r>
        <w:t xml:space="preserve"> percentile</w:t>
      </w:r>
    </w:p>
    <w:p w14:paraId="5FAFDC2E" w14:textId="7B57DD02" w:rsidR="00F937B0" w:rsidRDefault="00F937B0" w:rsidP="00A3194F">
      <w:pPr>
        <w:pStyle w:val="NumberedList2bulleted"/>
      </w:pPr>
      <w:r w:rsidRPr="00A3194F">
        <w:rPr>
          <w:b/>
          <w:bCs w:val="0"/>
        </w:rPr>
        <w:lastRenderedPageBreak/>
        <w:t>Obes</w:t>
      </w:r>
      <w:r w:rsidR="00A40DF0" w:rsidRPr="00A3194F">
        <w:rPr>
          <w:b/>
          <w:bCs w:val="0"/>
        </w:rPr>
        <w:t>ity</w:t>
      </w:r>
      <w:r>
        <w:rPr>
          <w:rStyle w:val="FootnoteReference"/>
        </w:rPr>
        <w:footnoteReference w:id="2"/>
      </w:r>
      <w:r>
        <w:t>: 95</w:t>
      </w:r>
      <w:r>
        <w:rPr>
          <w:vertAlign w:val="superscript"/>
        </w:rPr>
        <w:t>th</w:t>
      </w:r>
      <w:r>
        <w:t xml:space="preserve"> percentile to less than </w:t>
      </w:r>
      <w:bookmarkStart w:id="16" w:name="_Hlk39247443"/>
      <w:r>
        <w:t xml:space="preserve">120 percent of the </w:t>
      </w:r>
      <w:r w:rsidR="000D13FC">
        <w:t>body mass index (</w:t>
      </w:r>
      <w:r>
        <w:t>BMI</w:t>
      </w:r>
      <w:r w:rsidR="000D13FC">
        <w:t>)</w:t>
      </w:r>
      <w:r>
        <w:t xml:space="preserve"> value for the 95</w:t>
      </w:r>
      <w:r>
        <w:rPr>
          <w:vertAlign w:val="superscript"/>
        </w:rPr>
        <w:t>th</w:t>
      </w:r>
      <w:r>
        <w:t xml:space="preserve"> percentile</w:t>
      </w:r>
      <w:bookmarkEnd w:id="16"/>
    </w:p>
    <w:p w14:paraId="789ECCDD" w14:textId="19951F97" w:rsidR="009458C3" w:rsidRDefault="00F937B0" w:rsidP="00A3194F">
      <w:pPr>
        <w:pStyle w:val="BulletList-SecondLevel"/>
        <w:tabs>
          <w:tab w:val="clear" w:pos="1008"/>
          <w:tab w:val="num" w:pos="1368"/>
        </w:tabs>
        <w:ind w:left="1368"/>
      </w:pPr>
      <w:r w:rsidRPr="00A3194F">
        <w:rPr>
          <w:b/>
          <w:bCs/>
        </w:rPr>
        <w:t>Severe Obes</w:t>
      </w:r>
      <w:r w:rsidR="00A40DF0" w:rsidRPr="00A3194F">
        <w:rPr>
          <w:b/>
          <w:bCs/>
        </w:rPr>
        <w:t>ity</w:t>
      </w:r>
      <w:r>
        <w:t>: 120 percent or greater of the BMI value for the 95</w:t>
      </w:r>
      <w:r>
        <w:rPr>
          <w:vertAlign w:val="superscript"/>
        </w:rPr>
        <w:t>th</w:t>
      </w:r>
      <w:r>
        <w:t xml:space="preserve"> percentile</w:t>
      </w:r>
      <w:r w:rsidR="009458C3">
        <w:t xml:space="preserve">. </w:t>
      </w:r>
    </w:p>
    <w:p w14:paraId="7F2639A9" w14:textId="16F0BFE3" w:rsidR="00F06898" w:rsidRDefault="00A40DF0" w:rsidP="00915AE7">
      <w:pPr>
        <w:pStyle w:val="NormalInstructions"/>
        <w:spacing w:before="240"/>
        <w:rPr>
          <w:color w:val="auto"/>
        </w:rPr>
      </w:pPr>
      <w:r>
        <w:rPr>
          <w:color w:val="auto"/>
        </w:rPr>
        <w:t>Weight categories are assigned to each child</w:t>
      </w:r>
      <w:r w:rsidR="003C0530">
        <w:rPr>
          <w:color w:val="auto"/>
        </w:rPr>
        <w:t xml:space="preserve"> and teen</w:t>
      </w:r>
      <w:r>
        <w:rPr>
          <w:color w:val="auto"/>
        </w:rPr>
        <w:t xml:space="preserve"> based on their BMI percentile</w:t>
      </w:r>
      <w:r>
        <w:rPr>
          <w:rStyle w:val="FootnoteReference"/>
          <w:color w:val="auto"/>
        </w:rPr>
        <w:footnoteReference w:id="3"/>
      </w:r>
      <w:r>
        <w:rPr>
          <w:color w:val="auto"/>
        </w:rPr>
        <w:t xml:space="preserve"> value</w:t>
      </w:r>
      <w:r w:rsidR="00F06898">
        <w:rPr>
          <w:color w:val="auto"/>
        </w:rPr>
        <w:t>.</w:t>
      </w:r>
    </w:p>
    <w:p w14:paraId="787F0080" w14:textId="2B9EE947" w:rsidR="00702A5B" w:rsidRDefault="00702A5B" w:rsidP="00A3194F">
      <w:pPr>
        <w:pStyle w:val="NormalInstructions"/>
        <w:spacing w:before="240"/>
        <w:rPr>
          <w:color w:val="auto"/>
        </w:rPr>
      </w:pPr>
      <w:r>
        <w:rPr>
          <w:color w:val="auto"/>
        </w:rPr>
        <w:t xml:space="preserve">Throughout this document, we refer to two different data types: (1) a large sample of data drawn from EHRs across the </w:t>
      </w:r>
      <w:r w:rsidR="000D13FC">
        <w:rPr>
          <w:color w:val="auto"/>
        </w:rPr>
        <w:t>United States,</w:t>
      </w:r>
      <w:r>
        <w:rPr>
          <w:color w:val="auto"/>
        </w:rPr>
        <w:t xml:space="preserve"> which we refer to as IQVIA</w:t>
      </w:r>
      <w:r w:rsidR="00115E85">
        <w:rPr>
          <w:color w:val="auto"/>
        </w:rPr>
        <w:t>,</w:t>
      </w:r>
      <w:r>
        <w:rPr>
          <w:color w:val="auto"/>
        </w:rPr>
        <w:t xml:space="preserve"> based on the data</w:t>
      </w:r>
      <w:r w:rsidR="000D13FC">
        <w:rPr>
          <w:color w:val="auto"/>
        </w:rPr>
        <w:t xml:space="preserve"> </w:t>
      </w:r>
      <w:r>
        <w:rPr>
          <w:color w:val="auto"/>
        </w:rPr>
        <w:t xml:space="preserve">set with which we tested the algorithm; and (2) a </w:t>
      </w:r>
      <w:r w:rsidR="000D13FC">
        <w:rPr>
          <w:color w:val="auto"/>
        </w:rPr>
        <w:t xml:space="preserve">smaller </w:t>
      </w:r>
      <w:r>
        <w:rPr>
          <w:color w:val="auto"/>
        </w:rPr>
        <w:t>set of data derived from a distributed health data network operating CODI infrastructure</w:t>
      </w:r>
      <w:r w:rsidR="000D13FC">
        <w:rPr>
          <w:color w:val="auto"/>
        </w:rPr>
        <w:t>, which we refer to as</w:t>
      </w:r>
      <w:r>
        <w:rPr>
          <w:color w:val="auto"/>
        </w:rPr>
        <w:t xml:space="preserve"> CODI. </w:t>
      </w:r>
      <w:r w:rsidR="00490218">
        <w:rPr>
          <w:color w:val="auto"/>
        </w:rPr>
        <w:t xml:space="preserve">Our algorithms can generate prevalence estimates derived from a large sample of data from across the </w:t>
      </w:r>
      <w:r w:rsidR="000D13FC">
        <w:rPr>
          <w:color w:val="auto"/>
        </w:rPr>
        <w:t>United States</w:t>
      </w:r>
      <w:r w:rsidR="00490218">
        <w:rPr>
          <w:color w:val="auto"/>
        </w:rPr>
        <w:t xml:space="preserve"> (e.g., IQVIA data) at either the state or </w:t>
      </w:r>
      <w:r w:rsidR="00154ACC">
        <w:rPr>
          <w:color w:val="auto"/>
        </w:rPr>
        <w:t>ZCTA-3</w:t>
      </w:r>
      <w:r w:rsidR="00490218">
        <w:rPr>
          <w:color w:val="auto"/>
        </w:rPr>
        <w:t xml:space="preserve"> level. The CODI algorithms generate prevalence estimates at the county level.</w:t>
      </w:r>
      <w:r w:rsidR="00050CB1">
        <w:rPr>
          <w:color w:val="auto"/>
        </w:rPr>
        <w:t xml:space="preserve"> </w:t>
      </w:r>
    </w:p>
    <w:p w14:paraId="3B926274" w14:textId="77777777" w:rsidR="005D10C6" w:rsidRDefault="00DB5401" w:rsidP="00A3194F">
      <w:pPr>
        <w:pStyle w:val="Heading2"/>
        <w:spacing w:after="0"/>
      </w:pPr>
      <w:bookmarkStart w:id="17" w:name="_Toc46395231"/>
      <w:r>
        <w:t>Purpose</w:t>
      </w:r>
      <w:bookmarkEnd w:id="17"/>
    </w:p>
    <w:bookmarkEnd w:id="15"/>
    <w:p w14:paraId="79D7C0D9" w14:textId="54E9F983" w:rsidR="009A399C" w:rsidRPr="00A3194F" w:rsidRDefault="009A399C" w:rsidP="00A3194F">
      <w:pPr>
        <w:spacing w:after="240"/>
      </w:pPr>
      <w:r w:rsidRPr="00A3194F">
        <w:t xml:space="preserve">CODI-PQ was developed in partnership between the Health FFRDC and CDC, with feedback from leading health researchers, to support </w:t>
      </w:r>
      <w:r w:rsidR="00B16F31">
        <w:t>the creation of weighted prevalence estimates</w:t>
      </w:r>
      <w:r w:rsidRPr="00A3194F">
        <w:t>.</w:t>
      </w:r>
    </w:p>
    <w:p w14:paraId="6854BFB5" w14:textId="6F8AE068" w:rsidR="008B33EE" w:rsidRPr="00A3194F" w:rsidRDefault="008B33EE">
      <w:r w:rsidRPr="00A3194F">
        <w:t xml:space="preserve">The purpose of this document is </w:t>
      </w:r>
      <w:r w:rsidR="007E3FD9" w:rsidRPr="00A3194F">
        <w:t>to provide the guidance necessary for researchers to ut</w:t>
      </w:r>
      <w:r w:rsidR="00334641" w:rsidRPr="00A3194F">
        <w:t>i</w:t>
      </w:r>
      <w:r w:rsidR="007E3FD9" w:rsidRPr="00A3194F">
        <w:t xml:space="preserve">lize </w:t>
      </w:r>
      <w:r w:rsidR="00442B92" w:rsidRPr="00A3194F">
        <w:t>CODI-PQ</w:t>
      </w:r>
      <w:r w:rsidR="000D13FC">
        <w:t>. It</w:t>
      </w:r>
      <w:r w:rsidR="00116E2D">
        <w:t xml:space="preserve"> </w:t>
      </w:r>
      <w:r w:rsidRPr="00A3194F">
        <w:t>provides</w:t>
      </w:r>
      <w:r w:rsidR="00F25AE7" w:rsidRPr="00A3194F">
        <w:t xml:space="preserve"> a description of</w:t>
      </w:r>
      <w:r w:rsidRPr="00A3194F">
        <w:t>:</w:t>
      </w:r>
    </w:p>
    <w:p w14:paraId="164B6E81" w14:textId="3DCFF157" w:rsidR="009A399C" w:rsidRPr="00915AE7" w:rsidRDefault="00F25AE7" w:rsidP="00A3194F">
      <w:pPr>
        <w:pStyle w:val="BulletListMultiple"/>
        <w:rPr>
          <w:rFonts w:eastAsia="Verdana"/>
        </w:rPr>
      </w:pPr>
      <w:r w:rsidRPr="00915AE7">
        <w:rPr>
          <w:rFonts w:eastAsia="Verdana"/>
        </w:rPr>
        <w:t>CODI-PQ data inputs and pre-processing</w:t>
      </w:r>
    </w:p>
    <w:p w14:paraId="66DB05FB" w14:textId="24B0F662" w:rsidR="007E3FD9" w:rsidRPr="00915AE7" w:rsidRDefault="00442B92" w:rsidP="00A3194F">
      <w:pPr>
        <w:pStyle w:val="BulletListMultiple"/>
        <w:rPr>
          <w:rFonts w:eastAsia="Verdana"/>
        </w:rPr>
      </w:pPr>
      <w:r w:rsidRPr="00915AE7">
        <w:rPr>
          <w:rFonts w:eastAsia="Verdana"/>
        </w:rPr>
        <w:t>CODI-PQ</w:t>
      </w:r>
      <w:r w:rsidR="007E3FD9" w:rsidRPr="00915AE7">
        <w:rPr>
          <w:rFonts w:eastAsia="Verdana"/>
        </w:rPr>
        <w:t xml:space="preserve"> process</w:t>
      </w:r>
      <w:r w:rsidR="00F25AE7" w:rsidRPr="00915AE7">
        <w:rPr>
          <w:rFonts w:eastAsia="Verdana"/>
        </w:rPr>
        <w:t>ing</w:t>
      </w:r>
    </w:p>
    <w:p w14:paraId="7B815415" w14:textId="33E8E6D8" w:rsidR="00F937B0" w:rsidRDefault="00F25AE7" w:rsidP="00A3194F">
      <w:pPr>
        <w:pStyle w:val="BulletListMultiple"/>
        <w:rPr>
          <w:rFonts w:eastAsia="Verdana"/>
        </w:rPr>
      </w:pPr>
      <w:r w:rsidRPr="00915AE7">
        <w:rPr>
          <w:rFonts w:eastAsia="Verdana"/>
        </w:rPr>
        <w:t xml:space="preserve">CODI-PQ </w:t>
      </w:r>
      <w:r w:rsidR="00F937B0" w:rsidRPr="00915AE7">
        <w:rPr>
          <w:rFonts w:eastAsia="Verdana"/>
        </w:rPr>
        <w:t xml:space="preserve">analytic </w:t>
      </w:r>
      <w:r w:rsidR="007E3FD9" w:rsidRPr="00915AE7">
        <w:rPr>
          <w:rFonts w:eastAsia="Verdana"/>
        </w:rPr>
        <w:t>output</w:t>
      </w:r>
    </w:p>
    <w:p w14:paraId="77EBA43B" w14:textId="77777777" w:rsidR="005D10C6" w:rsidRDefault="00DB5401" w:rsidP="00A3194F">
      <w:pPr>
        <w:pStyle w:val="Heading2"/>
        <w:spacing w:after="0"/>
      </w:pPr>
      <w:bookmarkStart w:id="18" w:name="_Toc46395232"/>
      <w:r>
        <w:t>Scope</w:t>
      </w:r>
      <w:bookmarkEnd w:id="18"/>
    </w:p>
    <w:p w14:paraId="2608620C" w14:textId="16AC3BE9" w:rsidR="00211329" w:rsidRDefault="00211329" w:rsidP="009D3F3A">
      <w:r>
        <w:t xml:space="preserve">This document provides implementation guidance for </w:t>
      </w:r>
      <w:r w:rsidR="000D2A65">
        <w:t>CODI-PQ</w:t>
      </w:r>
      <w:r>
        <w:t xml:space="preserve">. </w:t>
      </w:r>
      <w:r w:rsidR="00605BB6">
        <w:t>The algorithm</w:t>
      </w:r>
      <w:r w:rsidR="00AD22DE">
        <w:t>s</w:t>
      </w:r>
      <w:r w:rsidR="00605BB6">
        <w:t xml:space="preserve"> leverage de</w:t>
      </w:r>
      <w:r w:rsidR="000D2A65">
        <w:t>-</w:t>
      </w:r>
      <w:r w:rsidR="00605BB6">
        <w:t xml:space="preserve">identified </w:t>
      </w:r>
      <w:r w:rsidR="00384AC6">
        <w:t>EHR height and weight information for children</w:t>
      </w:r>
      <w:r w:rsidR="00504041">
        <w:t xml:space="preserve"> and teens</w:t>
      </w:r>
      <w:r w:rsidR="00384AC6">
        <w:t xml:space="preserve"> age</w:t>
      </w:r>
      <w:r w:rsidR="000D13FC">
        <w:t>s</w:t>
      </w:r>
      <w:r w:rsidR="00384AC6">
        <w:t xml:space="preserve"> 2 to 19. </w:t>
      </w:r>
      <w:r w:rsidR="000D2A65">
        <w:t>T</w:t>
      </w:r>
      <w:r w:rsidR="009A651D">
        <w:t>he CODI-PQ</w:t>
      </w:r>
      <w:r w:rsidR="000D2A65">
        <w:t xml:space="preserve"> assumes users include all available </w:t>
      </w:r>
      <w:r w:rsidR="00B13995">
        <w:t xml:space="preserve">EHR </w:t>
      </w:r>
      <w:r w:rsidR="000D2A65">
        <w:t xml:space="preserve">data for a </w:t>
      </w:r>
      <w:r w:rsidR="00F321F0">
        <w:t xml:space="preserve">geography and/or </w:t>
      </w:r>
      <w:r w:rsidR="000D2A65">
        <w:t xml:space="preserve">subpopulation. </w:t>
      </w:r>
    </w:p>
    <w:p w14:paraId="2AA62E84" w14:textId="08ECACC3" w:rsidR="00F5518E" w:rsidRDefault="00172225">
      <w:pPr>
        <w:spacing w:before="240"/>
        <w:rPr>
          <w:rFonts w:eastAsia="Verdana"/>
        </w:rPr>
      </w:pPr>
      <w:r>
        <w:rPr>
          <w:rFonts w:eastAsia="Verdana"/>
        </w:rPr>
        <w:t>The CODI-PQ solution is designed to operate with</w:t>
      </w:r>
      <w:r w:rsidR="00116E2D">
        <w:rPr>
          <w:rFonts w:eastAsia="Verdana"/>
        </w:rPr>
        <w:t xml:space="preserve"> a single height and weight observation per year for each child or teen. This project used the open</w:t>
      </w:r>
      <w:r w:rsidR="000D13FC">
        <w:rPr>
          <w:rFonts w:eastAsia="Verdana"/>
        </w:rPr>
        <w:t xml:space="preserve"> </w:t>
      </w:r>
      <w:r w:rsidR="00116E2D">
        <w:rPr>
          <w:rFonts w:eastAsia="Verdana"/>
        </w:rPr>
        <w:t xml:space="preserve">source R package called </w:t>
      </w:r>
      <w:r>
        <w:rPr>
          <w:rFonts w:eastAsia="Verdana"/>
        </w:rPr>
        <w:t>growthcleanr</w:t>
      </w:r>
      <w:r w:rsidR="00C359B1">
        <w:rPr>
          <w:rStyle w:val="FootnoteReference"/>
          <w:rFonts w:eastAsia="Verdana"/>
        </w:rPr>
        <w:footnoteReference w:id="4"/>
      </w:r>
      <w:r w:rsidR="00B16F31">
        <w:rPr>
          <w:rFonts w:eastAsia="Verdana"/>
        </w:rPr>
        <w:t xml:space="preserve"> to </w:t>
      </w:r>
      <w:r w:rsidR="00116E2D">
        <w:rPr>
          <w:rFonts w:eastAsia="Verdana"/>
        </w:rPr>
        <w:t xml:space="preserve">identify height and weight values that were likely biologically implausible, and then randomly </w:t>
      </w:r>
      <w:r w:rsidR="00116E2D">
        <w:rPr>
          <w:rFonts w:eastAsia="Verdana"/>
        </w:rPr>
        <w:lastRenderedPageBreak/>
        <w:t xml:space="preserve">selected a paired height and weight for each child. </w:t>
      </w:r>
      <w:r w:rsidR="00F5518E">
        <w:rPr>
          <w:rFonts w:eastAsia="Verdana"/>
        </w:rPr>
        <w:t>Users</w:t>
      </w:r>
      <w:r w:rsidR="00116E2D">
        <w:rPr>
          <w:rFonts w:eastAsia="Verdana"/>
        </w:rPr>
        <w:t xml:space="preserve"> may wish to use the </w:t>
      </w:r>
      <w:r w:rsidR="00C359B1">
        <w:rPr>
          <w:rFonts w:eastAsia="Verdana"/>
        </w:rPr>
        <w:t xml:space="preserve">CODI-modified </w:t>
      </w:r>
      <w:r w:rsidR="00116E2D">
        <w:rPr>
          <w:rFonts w:eastAsia="Verdana"/>
        </w:rPr>
        <w:t>growthcleanr tool</w:t>
      </w:r>
      <w:r w:rsidR="00C359B1">
        <w:rPr>
          <w:rStyle w:val="FootnoteReference"/>
          <w:rFonts w:eastAsia="Verdana"/>
        </w:rPr>
        <w:footnoteReference w:id="5"/>
      </w:r>
      <w:r w:rsidR="00116E2D">
        <w:rPr>
          <w:rFonts w:eastAsia="Verdana"/>
        </w:rPr>
        <w:t xml:space="preserve"> to similarly clean </w:t>
      </w:r>
      <w:r w:rsidR="00F5518E">
        <w:rPr>
          <w:rFonts w:eastAsia="Verdana"/>
        </w:rPr>
        <w:t>their</w:t>
      </w:r>
      <w:r w:rsidR="00116E2D">
        <w:rPr>
          <w:rFonts w:eastAsia="Verdana"/>
        </w:rPr>
        <w:t xml:space="preserve"> data prior to running the CODI-PQ</w:t>
      </w:r>
      <w:r w:rsidR="00B16F31">
        <w:rPr>
          <w:rFonts w:eastAsia="Verdana"/>
        </w:rPr>
        <w:t>.</w:t>
      </w:r>
      <w:r>
        <w:rPr>
          <w:rFonts w:eastAsia="Verdana"/>
        </w:rPr>
        <w:t xml:space="preserve"> </w:t>
      </w:r>
    </w:p>
    <w:p w14:paraId="47CF2A4D" w14:textId="424A872F" w:rsidR="00465CBB" w:rsidRDefault="00172225" w:rsidP="00A3194F">
      <w:pPr>
        <w:spacing w:before="240"/>
      </w:pPr>
      <w:r>
        <w:rPr>
          <w:rFonts w:eastAsia="Verdana"/>
        </w:rPr>
        <w:t xml:space="preserve">The </w:t>
      </w:r>
      <w:r w:rsidR="00025B48">
        <w:rPr>
          <w:rFonts w:eastAsia="Verdana"/>
        </w:rPr>
        <w:t xml:space="preserve">CODI-PQ and </w:t>
      </w:r>
      <w:r w:rsidR="00F5518E">
        <w:rPr>
          <w:rFonts w:eastAsia="Verdana"/>
        </w:rPr>
        <w:t>pre-processing</w:t>
      </w:r>
      <w:r w:rsidR="00025B48">
        <w:rPr>
          <w:rFonts w:eastAsia="Verdana"/>
        </w:rPr>
        <w:t xml:space="preserve"> </w:t>
      </w:r>
      <w:r>
        <w:rPr>
          <w:rFonts w:eastAsia="Verdana"/>
        </w:rPr>
        <w:t xml:space="preserve">algorithms </w:t>
      </w:r>
      <w:r w:rsidR="009A399C">
        <w:rPr>
          <w:rFonts w:eastAsia="Verdana"/>
        </w:rPr>
        <w:t xml:space="preserve">described in this document </w:t>
      </w:r>
      <w:r>
        <w:rPr>
          <w:rFonts w:eastAsia="Verdana"/>
        </w:rPr>
        <w:t xml:space="preserve">were created and tested with </w:t>
      </w:r>
      <w:r>
        <w:t>IQVIA</w:t>
      </w:r>
      <w:r w:rsidR="000D13FC">
        <w:t>’</w:t>
      </w:r>
      <w:r>
        <w:t>s Ambulatory Electronic Medical Record (AEMR)</w:t>
      </w:r>
      <w:r w:rsidR="000D13FC" w:rsidRPr="000D13FC">
        <w:t xml:space="preserve"> </w:t>
      </w:r>
      <w:r w:rsidR="000D13FC">
        <w:t>data</w:t>
      </w:r>
      <w:r>
        <w:rPr>
          <w:rStyle w:val="FootnoteReference"/>
        </w:rPr>
        <w:footnoteReference w:id="6"/>
      </w:r>
      <w:r>
        <w:t xml:space="preserve"> and synthetic data</w:t>
      </w:r>
      <w:r w:rsidR="00F5518E">
        <w:t xml:space="preserve"> generated for CODI using Synthea</w:t>
      </w:r>
      <w:r w:rsidR="00B24A98">
        <w:t>.</w:t>
      </w:r>
      <w:r w:rsidR="00F5518E">
        <w:rPr>
          <w:rStyle w:val="FootnoteReference"/>
        </w:rPr>
        <w:footnoteReference w:id="7"/>
      </w:r>
      <w:r w:rsidDel="006C1FA8">
        <w:rPr>
          <w:rFonts w:eastAsia="Verdana"/>
        </w:rPr>
        <w:t xml:space="preserve"> </w:t>
      </w:r>
      <w:r w:rsidR="00A502D8">
        <w:t xml:space="preserve">All </w:t>
      </w:r>
      <w:r w:rsidR="00211329">
        <w:t xml:space="preserve">statistical programs described </w:t>
      </w:r>
      <w:r w:rsidR="00A502D8">
        <w:t xml:space="preserve">in this document </w:t>
      </w:r>
      <w:r w:rsidR="000D2A65">
        <w:t>were created and tested</w:t>
      </w:r>
      <w:r w:rsidR="00A502D8">
        <w:t xml:space="preserve"> using SAS 9.4 software (SAS Institute,</w:t>
      </w:r>
      <w:r w:rsidR="00211329">
        <w:t xml:space="preserve"> </w:t>
      </w:r>
      <w:r w:rsidR="00A502D8">
        <w:t xml:space="preserve">Inc., Cary, North Carolina). </w:t>
      </w:r>
      <w:r w:rsidR="00025B48">
        <w:t>The guidance provided in this document is implemented through open source programs.</w:t>
      </w:r>
    </w:p>
    <w:p w14:paraId="396FC4BD" w14:textId="77777777" w:rsidR="00211329" w:rsidRDefault="00211329" w:rsidP="00A3194F">
      <w:pPr>
        <w:pStyle w:val="Heading2"/>
        <w:spacing w:after="0"/>
      </w:pPr>
      <w:bookmarkStart w:id="19" w:name="_Toc46395233"/>
      <w:r>
        <w:t>Audience</w:t>
      </w:r>
      <w:bookmarkEnd w:id="19"/>
    </w:p>
    <w:p w14:paraId="0FDB5437" w14:textId="4030FE00" w:rsidR="00211329" w:rsidRDefault="00211329" w:rsidP="009D3F3A">
      <w:r>
        <w:t>The primary audience for this document is the research</w:t>
      </w:r>
      <w:r w:rsidR="002E6F13">
        <w:t>er</w:t>
      </w:r>
      <w:r>
        <w:t xml:space="preserve"> </w:t>
      </w:r>
      <w:r w:rsidR="009A399C">
        <w:t xml:space="preserve">using </w:t>
      </w:r>
      <w:r w:rsidR="00442B92">
        <w:t>CODI-PQ</w:t>
      </w:r>
      <w:r w:rsidR="009A399C">
        <w:t xml:space="preserve"> algorithms or output</w:t>
      </w:r>
      <w:r>
        <w:t xml:space="preserve">. This document is written with </w:t>
      </w:r>
      <w:r w:rsidR="002E6F13">
        <w:t>public health</w:t>
      </w:r>
      <w:r>
        <w:t xml:space="preserve"> </w:t>
      </w:r>
      <w:r w:rsidR="0050219F">
        <w:t xml:space="preserve">scientists and health services </w:t>
      </w:r>
      <w:r>
        <w:t xml:space="preserve">researchers as a primary focus, </w:t>
      </w:r>
      <w:r w:rsidR="0050219F">
        <w:t xml:space="preserve">and </w:t>
      </w:r>
      <w:r>
        <w:t xml:space="preserve">is applicable to other efforts seeking a </w:t>
      </w:r>
      <w:r w:rsidR="00442B92">
        <w:t>CODI-PQ</w:t>
      </w:r>
      <w:r>
        <w:t xml:space="preserve"> solution.</w:t>
      </w:r>
      <w:r w:rsidR="00A82030">
        <w:t xml:space="preserve"> Please refer to GitHub for further </w:t>
      </w:r>
      <w:r w:rsidR="009A399C">
        <w:t xml:space="preserve">technical </w:t>
      </w:r>
      <w:r w:rsidR="00A82030">
        <w:t>details regarding the implementation of the algorithm</w:t>
      </w:r>
      <w:r w:rsidR="009A399C">
        <w:t>s</w:t>
      </w:r>
      <w:r w:rsidR="00B24A98">
        <w:t>.</w:t>
      </w:r>
      <w:r w:rsidR="00A82030">
        <w:rPr>
          <w:rStyle w:val="FootnoteReference"/>
        </w:rPr>
        <w:footnoteReference w:id="8"/>
      </w:r>
      <w:r>
        <w:t xml:space="preserve"> </w:t>
      </w:r>
    </w:p>
    <w:p w14:paraId="19B5FB4F" w14:textId="77777777" w:rsidR="00AD22DE" w:rsidRDefault="00AD22DE" w:rsidP="00A3194F">
      <w:pPr>
        <w:pStyle w:val="Heading2"/>
        <w:spacing w:after="0"/>
      </w:pPr>
      <w:bookmarkStart w:id="20" w:name="_Toc46395234"/>
      <w:bookmarkStart w:id="21" w:name="_Toc498235592"/>
      <w:bookmarkStart w:id="22" w:name="_Toc498325032"/>
      <w:bookmarkStart w:id="23" w:name="_Toc499106670"/>
      <w:bookmarkStart w:id="24" w:name="_Toc499106872"/>
      <w:bookmarkStart w:id="25" w:name="_Toc510936700"/>
      <w:bookmarkStart w:id="26" w:name="_Toc510936880"/>
      <w:bookmarkStart w:id="27" w:name="_Toc510948571"/>
      <w:r>
        <w:t>Limitations</w:t>
      </w:r>
      <w:bookmarkEnd w:id="20"/>
    </w:p>
    <w:p w14:paraId="7576BCEB" w14:textId="375167ED" w:rsidR="00AD22DE" w:rsidRDefault="00AD22DE" w:rsidP="00AD22DE">
      <w:pPr>
        <w:pStyle w:val="NormalInstructions"/>
        <w:rPr>
          <w:color w:val="auto"/>
        </w:rPr>
      </w:pPr>
      <w:r w:rsidRPr="00F06898">
        <w:rPr>
          <w:color w:val="auto"/>
        </w:rPr>
        <w:t xml:space="preserve">The findings </w:t>
      </w:r>
      <w:r>
        <w:rPr>
          <w:color w:val="auto"/>
        </w:rPr>
        <w:t xml:space="preserve">from </w:t>
      </w:r>
      <w:r w:rsidR="009A399C">
        <w:rPr>
          <w:color w:val="auto"/>
        </w:rPr>
        <w:t>CODI-PQ</w:t>
      </w:r>
      <w:r w:rsidRPr="00F06898">
        <w:rPr>
          <w:color w:val="auto"/>
        </w:rPr>
        <w:t xml:space="preserve"> are subject to </w:t>
      </w:r>
      <w:r>
        <w:rPr>
          <w:color w:val="auto"/>
        </w:rPr>
        <w:t xml:space="preserve">at least </w:t>
      </w:r>
      <w:r w:rsidR="008E5996">
        <w:rPr>
          <w:color w:val="auto"/>
        </w:rPr>
        <w:t xml:space="preserve">eight </w:t>
      </w:r>
      <w:r w:rsidRPr="00F06898">
        <w:rPr>
          <w:color w:val="auto"/>
        </w:rPr>
        <w:t>limitations.</w:t>
      </w:r>
      <w:r>
        <w:rPr>
          <w:color w:val="auto"/>
        </w:rPr>
        <w:t xml:space="preserve"> </w:t>
      </w:r>
      <w:r w:rsidRPr="00F06898">
        <w:rPr>
          <w:color w:val="auto"/>
        </w:rPr>
        <w:t>First, the findings might differ from those based on the National Health and Nutrition Examination Survey</w:t>
      </w:r>
      <w:r>
        <w:rPr>
          <w:color w:val="auto"/>
        </w:rPr>
        <w:t xml:space="preserve"> (NHANES)</w:t>
      </w:r>
      <w:r w:rsidRPr="00F06898">
        <w:rPr>
          <w:color w:val="auto"/>
        </w:rPr>
        <w:t>, a probability-based survey that</w:t>
      </w:r>
      <w:r>
        <w:rPr>
          <w:color w:val="auto"/>
        </w:rPr>
        <w:t xml:space="preserve"> </w:t>
      </w:r>
      <w:r w:rsidRPr="00F06898">
        <w:rPr>
          <w:color w:val="auto"/>
        </w:rPr>
        <w:t>might be more representative of the general population.</w:t>
      </w:r>
      <w:r>
        <w:rPr>
          <w:color w:val="auto"/>
        </w:rPr>
        <w:t xml:space="preserve"> Obesity </w:t>
      </w:r>
      <w:r w:rsidRPr="00F06898">
        <w:rPr>
          <w:color w:val="auto"/>
        </w:rPr>
        <w:t xml:space="preserve">among </w:t>
      </w:r>
      <w:r>
        <w:rPr>
          <w:color w:val="auto"/>
        </w:rPr>
        <w:t xml:space="preserve">national 2016 IQVIA estimates </w:t>
      </w:r>
      <w:r w:rsidRPr="00F06898">
        <w:rPr>
          <w:color w:val="auto"/>
        </w:rPr>
        <w:t>differed from the population-based sample in</w:t>
      </w:r>
      <w:r>
        <w:rPr>
          <w:color w:val="auto"/>
        </w:rPr>
        <w:t xml:space="preserve"> NHANES </w:t>
      </w:r>
      <w:r w:rsidRPr="00F06898">
        <w:rPr>
          <w:color w:val="auto"/>
        </w:rPr>
        <w:t xml:space="preserve">in the </w:t>
      </w:r>
      <w:r>
        <w:rPr>
          <w:color w:val="auto"/>
        </w:rPr>
        <w:t>2015 to 2016 wave</w:t>
      </w:r>
      <w:r w:rsidRPr="00F06898">
        <w:rPr>
          <w:color w:val="auto"/>
        </w:rPr>
        <w:t xml:space="preserve"> (</w:t>
      </w:r>
      <w:r w:rsidRPr="001A4F85">
        <w:rPr>
          <w:color w:val="auto"/>
        </w:rPr>
        <w:t xml:space="preserve">e.g., </w:t>
      </w:r>
      <w:r w:rsidR="00A26F45">
        <w:rPr>
          <w:color w:val="auto"/>
        </w:rPr>
        <w:t>17.2</w:t>
      </w:r>
      <w:r w:rsidRPr="001A4F85">
        <w:rPr>
          <w:color w:val="auto"/>
        </w:rPr>
        <w:t>%</w:t>
      </w:r>
      <w:r>
        <w:rPr>
          <w:color w:val="auto"/>
        </w:rPr>
        <w:t xml:space="preserve"> obesity </w:t>
      </w:r>
      <w:r w:rsidRPr="001A4F85">
        <w:rPr>
          <w:color w:val="auto"/>
        </w:rPr>
        <w:t xml:space="preserve">among </w:t>
      </w:r>
      <w:r>
        <w:rPr>
          <w:color w:val="auto"/>
        </w:rPr>
        <w:t xml:space="preserve">IQVIA 2016 </w:t>
      </w:r>
      <w:r w:rsidRPr="001A4F85">
        <w:rPr>
          <w:color w:val="auto"/>
        </w:rPr>
        <w:t xml:space="preserve">versus </w:t>
      </w:r>
      <w:r>
        <w:rPr>
          <w:color w:val="auto"/>
        </w:rPr>
        <w:t>18</w:t>
      </w:r>
      <w:r w:rsidRPr="001A4F85">
        <w:rPr>
          <w:color w:val="auto"/>
        </w:rPr>
        <w:t>.</w:t>
      </w:r>
      <w:r>
        <w:rPr>
          <w:color w:val="auto"/>
        </w:rPr>
        <w:t>5</w:t>
      </w:r>
      <w:r w:rsidRPr="001A4F85">
        <w:rPr>
          <w:color w:val="auto"/>
        </w:rPr>
        <w:t xml:space="preserve">% in </w:t>
      </w:r>
      <w:r>
        <w:rPr>
          <w:color w:val="auto"/>
        </w:rPr>
        <w:t>the NHANES for the 2015–16</w:t>
      </w:r>
      <w:r w:rsidRPr="001A4F85">
        <w:rPr>
          <w:color w:val="auto"/>
        </w:rPr>
        <w:t xml:space="preserve"> season</w:t>
      </w:r>
      <w:r w:rsidRPr="00F06898">
        <w:rPr>
          <w:color w:val="auto"/>
        </w:rPr>
        <w:t xml:space="preserve">). </w:t>
      </w:r>
      <w:r>
        <w:rPr>
          <w:color w:val="auto"/>
        </w:rPr>
        <w:t>Second, a</w:t>
      </w:r>
      <w:r w:rsidRPr="00F06898">
        <w:rPr>
          <w:color w:val="auto"/>
        </w:rPr>
        <w:t xml:space="preserve">dditional comparisons with </w:t>
      </w:r>
      <w:r>
        <w:rPr>
          <w:color w:val="auto"/>
        </w:rPr>
        <w:t xml:space="preserve">IQVIA </w:t>
      </w:r>
      <w:r w:rsidR="00F5518E">
        <w:rPr>
          <w:color w:val="auto"/>
        </w:rPr>
        <w:t>and</w:t>
      </w:r>
      <w:r>
        <w:rPr>
          <w:color w:val="auto"/>
        </w:rPr>
        <w:t xml:space="preserve"> CODI </w:t>
      </w:r>
      <w:r w:rsidRPr="00F06898">
        <w:rPr>
          <w:color w:val="auto"/>
        </w:rPr>
        <w:t xml:space="preserve">over multiple </w:t>
      </w:r>
      <w:r>
        <w:rPr>
          <w:color w:val="auto"/>
        </w:rPr>
        <w:t xml:space="preserve">years </w:t>
      </w:r>
      <w:r w:rsidRPr="00F06898">
        <w:rPr>
          <w:color w:val="auto"/>
        </w:rPr>
        <w:t>are needed to determine whether the</w:t>
      </w:r>
      <w:r>
        <w:rPr>
          <w:color w:val="auto"/>
        </w:rPr>
        <w:t xml:space="preserve"> EHR</w:t>
      </w:r>
      <w:r w:rsidR="00F5518E">
        <w:rPr>
          <w:color w:val="auto"/>
        </w:rPr>
        <w:t>-</w:t>
      </w:r>
      <w:r>
        <w:rPr>
          <w:color w:val="auto"/>
        </w:rPr>
        <w:t xml:space="preserve">based estimates </w:t>
      </w:r>
      <w:r w:rsidRPr="00F06898">
        <w:rPr>
          <w:color w:val="auto"/>
        </w:rPr>
        <w:t>provide valid assessments of trends</w:t>
      </w:r>
      <w:r>
        <w:rPr>
          <w:color w:val="auto"/>
        </w:rPr>
        <w:t>. Inclusion or exclusion of individual practices as well as growth or decline in participating practices may vary from year to year</w:t>
      </w:r>
      <w:r w:rsidRPr="00F06898">
        <w:rPr>
          <w:color w:val="auto"/>
        </w:rPr>
        <w:t>.</w:t>
      </w:r>
      <w:r>
        <w:rPr>
          <w:color w:val="auto"/>
        </w:rPr>
        <w:t xml:space="preserve"> Third</w:t>
      </w:r>
      <w:r w:rsidRPr="00F06898">
        <w:rPr>
          <w:color w:val="auto"/>
        </w:rPr>
        <w:t xml:space="preserve">, the </w:t>
      </w:r>
      <w:r>
        <w:rPr>
          <w:color w:val="auto"/>
        </w:rPr>
        <w:t xml:space="preserve">CODI </w:t>
      </w:r>
      <w:r w:rsidRPr="00F06898">
        <w:rPr>
          <w:color w:val="auto"/>
        </w:rPr>
        <w:t>sample</w:t>
      </w:r>
      <w:r>
        <w:rPr>
          <w:color w:val="auto"/>
        </w:rPr>
        <w:t xml:space="preserve"> </w:t>
      </w:r>
      <w:r w:rsidRPr="00F06898">
        <w:rPr>
          <w:color w:val="auto"/>
        </w:rPr>
        <w:t xml:space="preserve">was not randomly selected from </w:t>
      </w:r>
      <w:r w:rsidR="00504041">
        <w:rPr>
          <w:color w:val="auto"/>
        </w:rPr>
        <w:t>children and teens</w:t>
      </w:r>
      <w:r>
        <w:rPr>
          <w:color w:val="auto"/>
        </w:rPr>
        <w:t xml:space="preserve"> </w:t>
      </w:r>
      <w:r w:rsidRPr="00F06898">
        <w:rPr>
          <w:color w:val="auto"/>
        </w:rPr>
        <w:t xml:space="preserve">in the United States. </w:t>
      </w:r>
      <w:r w:rsidR="00F5518E">
        <w:rPr>
          <w:color w:val="auto"/>
        </w:rPr>
        <w:t xml:space="preserve">Data derived from </w:t>
      </w:r>
      <w:r>
        <w:rPr>
          <w:color w:val="auto"/>
        </w:rPr>
        <w:t>EHR</w:t>
      </w:r>
      <w:r w:rsidR="00F5518E">
        <w:rPr>
          <w:color w:val="auto"/>
        </w:rPr>
        <w:t>s</w:t>
      </w:r>
      <w:r>
        <w:rPr>
          <w:color w:val="auto"/>
        </w:rPr>
        <w:t xml:space="preserve"> such as IQVIA and CODI use</w:t>
      </w:r>
      <w:r w:rsidR="00B24A98">
        <w:rPr>
          <w:color w:val="auto"/>
        </w:rPr>
        <w:t>s</w:t>
      </w:r>
      <w:r w:rsidRPr="00F06898">
        <w:rPr>
          <w:color w:val="auto"/>
        </w:rPr>
        <w:t xml:space="preserve"> a non</w:t>
      </w:r>
      <w:r w:rsidR="00115E85">
        <w:rPr>
          <w:color w:val="auto"/>
        </w:rPr>
        <w:t>-</w:t>
      </w:r>
      <w:r w:rsidRPr="00F06898">
        <w:rPr>
          <w:color w:val="auto"/>
        </w:rPr>
        <w:t xml:space="preserve">probability sample </w:t>
      </w:r>
      <w:r>
        <w:rPr>
          <w:color w:val="auto"/>
        </w:rPr>
        <w:t xml:space="preserve">of </w:t>
      </w:r>
      <w:r w:rsidR="008E5996">
        <w:rPr>
          <w:color w:val="auto"/>
        </w:rPr>
        <w:t>medical encounters</w:t>
      </w:r>
      <w:r w:rsidR="00B24A98">
        <w:rPr>
          <w:color w:val="auto"/>
        </w:rPr>
        <w:t>,</w:t>
      </w:r>
      <w:r w:rsidR="008E5996">
        <w:rPr>
          <w:color w:val="auto"/>
        </w:rPr>
        <w:t xml:space="preserve"> </w:t>
      </w:r>
      <w:r w:rsidR="00115E85">
        <w:rPr>
          <w:color w:val="auto"/>
        </w:rPr>
        <w:t xml:space="preserve">where </w:t>
      </w:r>
      <w:r w:rsidR="00504041">
        <w:rPr>
          <w:color w:val="auto"/>
        </w:rPr>
        <w:t>children and teens</w:t>
      </w:r>
      <w:r w:rsidR="008E5996">
        <w:rPr>
          <w:color w:val="auto"/>
        </w:rPr>
        <w:t xml:space="preserve"> without a medical encounter in a year would be excluded. </w:t>
      </w:r>
      <w:r w:rsidR="00504041">
        <w:rPr>
          <w:color w:val="auto"/>
        </w:rPr>
        <w:t>Children and teens</w:t>
      </w:r>
      <w:r w:rsidR="00BB43C9" w:rsidRPr="00BB43C9">
        <w:rPr>
          <w:color w:val="auto"/>
        </w:rPr>
        <w:t xml:space="preserve"> captured in an EHR system may not be representative of the general population, due to issues such as informed presence bias. Informed presence is the belief that </w:t>
      </w:r>
      <w:r w:rsidR="00504041">
        <w:rPr>
          <w:color w:val="auto"/>
        </w:rPr>
        <w:t>children and teens</w:t>
      </w:r>
      <w:r w:rsidR="00BB43C9" w:rsidRPr="00BB43C9">
        <w:rPr>
          <w:color w:val="auto"/>
        </w:rPr>
        <w:t xml:space="preserve"> do not randomly go to the doctor</w:t>
      </w:r>
      <w:r w:rsidR="000D13FC">
        <w:rPr>
          <w:color w:val="auto"/>
        </w:rPr>
        <w:t>’</w:t>
      </w:r>
      <w:r w:rsidR="00BB43C9" w:rsidRPr="00BB43C9">
        <w:rPr>
          <w:color w:val="auto"/>
        </w:rPr>
        <w:t xml:space="preserve">s office and thus are not randomly </w:t>
      </w:r>
      <w:r w:rsidR="00F5518E">
        <w:rPr>
          <w:color w:val="auto"/>
        </w:rPr>
        <w:t xml:space="preserve">present </w:t>
      </w:r>
      <w:r w:rsidR="00BB43C9" w:rsidRPr="00BB43C9">
        <w:rPr>
          <w:color w:val="auto"/>
        </w:rPr>
        <w:t xml:space="preserve">in EHR data (Goldstein, Bhavsar, Phelan, &amp; Pencina, 2016). Instead, critics suggest that </w:t>
      </w:r>
      <w:r w:rsidR="00504041">
        <w:rPr>
          <w:color w:val="auto"/>
        </w:rPr>
        <w:t>children and teens</w:t>
      </w:r>
      <w:r w:rsidR="00BB43C9" w:rsidRPr="00BB43C9">
        <w:rPr>
          <w:color w:val="auto"/>
        </w:rPr>
        <w:t xml:space="preserve"> who are ill or have a chronic condition are more likely to be present in EHR data. If critics are correct, </w:t>
      </w:r>
      <w:r w:rsidR="00504041">
        <w:rPr>
          <w:color w:val="auto"/>
        </w:rPr>
        <w:t>children and teens</w:t>
      </w:r>
      <w:r w:rsidR="00BB43C9" w:rsidRPr="00BB43C9">
        <w:rPr>
          <w:color w:val="auto"/>
        </w:rPr>
        <w:t xml:space="preserve"> in </w:t>
      </w:r>
      <w:r w:rsidR="00BB43C9" w:rsidRPr="00BB43C9">
        <w:rPr>
          <w:color w:val="auto"/>
        </w:rPr>
        <w:lastRenderedPageBreak/>
        <w:t xml:space="preserve">the healthcare system may be systematically different than non-patients. Critics also suggest </w:t>
      </w:r>
      <w:r w:rsidR="00B24A98">
        <w:rPr>
          <w:color w:val="auto"/>
        </w:rPr>
        <w:t xml:space="preserve">that </w:t>
      </w:r>
      <w:r w:rsidR="00BB43C9" w:rsidRPr="00BB43C9">
        <w:rPr>
          <w:color w:val="auto"/>
        </w:rPr>
        <w:t>preventive care interactions and their EHR records may offer an exception to the rule and reduce informed presence. Yet selection bias concerns still remain because of factors that may influence the use of primary care services</w:t>
      </w:r>
      <w:r w:rsidR="00B24A98">
        <w:rPr>
          <w:color w:val="auto"/>
        </w:rPr>
        <w:t>,</w:t>
      </w:r>
      <w:r w:rsidR="00BB43C9" w:rsidRPr="00BB43C9">
        <w:rPr>
          <w:color w:val="auto"/>
        </w:rPr>
        <w:t xml:space="preserve"> such as education, health insurance coverage, and transportation (Christopher et al., 2016; Romo et al., 2016).</w:t>
      </w:r>
      <w:r w:rsidR="00BB43C9">
        <w:rPr>
          <w:color w:val="auto"/>
        </w:rPr>
        <w:t xml:space="preserve"> </w:t>
      </w:r>
      <w:r w:rsidR="008E5996">
        <w:rPr>
          <w:color w:val="auto"/>
        </w:rPr>
        <w:t>Fourth, the records in IQVIA and CODI are shared after creation of data</w:t>
      </w:r>
      <w:r w:rsidR="00115E85">
        <w:rPr>
          <w:color w:val="auto"/>
        </w:rPr>
        <w:t>-</w:t>
      </w:r>
      <w:r w:rsidR="008E5996">
        <w:rPr>
          <w:color w:val="auto"/>
        </w:rPr>
        <w:t>sharing agreements with individual clinics</w:t>
      </w:r>
      <w:r w:rsidRPr="00F06898">
        <w:rPr>
          <w:color w:val="auto"/>
        </w:rPr>
        <w:t>.</w:t>
      </w:r>
      <w:r w:rsidR="008E5996">
        <w:rPr>
          <w:color w:val="auto"/>
        </w:rPr>
        <w:t xml:space="preserve"> Not all medical clinics may share data, introducing additional potential for bias of </w:t>
      </w:r>
      <w:r w:rsidR="00504041">
        <w:rPr>
          <w:color w:val="auto"/>
        </w:rPr>
        <w:t>children and teens</w:t>
      </w:r>
      <w:r w:rsidR="008E5996">
        <w:rPr>
          <w:color w:val="auto"/>
        </w:rPr>
        <w:t xml:space="preserve"> who receive medical care from non-participating clinics. For this reason,</w:t>
      </w:r>
      <w:r w:rsidRPr="00F06898">
        <w:rPr>
          <w:color w:val="auto"/>
        </w:rPr>
        <w:t xml:space="preserve"> post</w:t>
      </w:r>
      <w:r w:rsidR="000C3F14">
        <w:rPr>
          <w:color w:val="auto"/>
        </w:rPr>
        <w:t>-</w:t>
      </w:r>
      <w:r w:rsidRPr="00F06898">
        <w:rPr>
          <w:color w:val="auto"/>
        </w:rPr>
        <w:t>stratification</w:t>
      </w:r>
      <w:r>
        <w:rPr>
          <w:color w:val="auto"/>
        </w:rPr>
        <w:t xml:space="preserve"> </w:t>
      </w:r>
      <w:r w:rsidRPr="00F06898">
        <w:rPr>
          <w:color w:val="auto"/>
        </w:rPr>
        <w:t>weighting</w:t>
      </w:r>
      <w:r w:rsidR="008E5996">
        <w:rPr>
          <w:color w:val="auto"/>
        </w:rPr>
        <w:t xml:space="preserve"> is strongly recommended. </w:t>
      </w:r>
      <w:r w:rsidR="00F5518E">
        <w:rPr>
          <w:color w:val="auto"/>
        </w:rPr>
        <w:t>However</w:t>
      </w:r>
      <w:r w:rsidRPr="00F06898">
        <w:rPr>
          <w:color w:val="auto"/>
        </w:rPr>
        <w:t xml:space="preserve">, </w:t>
      </w:r>
      <w:r w:rsidR="008E5996">
        <w:rPr>
          <w:color w:val="auto"/>
        </w:rPr>
        <w:t xml:space="preserve">weighting </w:t>
      </w:r>
      <w:r w:rsidRPr="00F06898">
        <w:rPr>
          <w:color w:val="auto"/>
        </w:rPr>
        <w:t>the results based on this non</w:t>
      </w:r>
      <w:r w:rsidR="00115E85">
        <w:rPr>
          <w:color w:val="auto"/>
        </w:rPr>
        <w:t>-</w:t>
      </w:r>
      <w:r w:rsidRPr="00F06898">
        <w:rPr>
          <w:color w:val="auto"/>
        </w:rPr>
        <w:t>probability sample might</w:t>
      </w:r>
      <w:r>
        <w:rPr>
          <w:color w:val="auto"/>
        </w:rPr>
        <w:t xml:space="preserve"> </w:t>
      </w:r>
      <w:r w:rsidRPr="00F06898">
        <w:rPr>
          <w:color w:val="auto"/>
        </w:rPr>
        <w:t xml:space="preserve">not </w:t>
      </w:r>
      <w:r w:rsidR="008E5996">
        <w:rPr>
          <w:color w:val="auto"/>
        </w:rPr>
        <w:t xml:space="preserve">be fully </w:t>
      </w:r>
      <w:r w:rsidRPr="00F06898">
        <w:rPr>
          <w:color w:val="auto"/>
        </w:rPr>
        <w:t xml:space="preserve">representative of </w:t>
      </w:r>
      <w:r>
        <w:rPr>
          <w:color w:val="auto"/>
        </w:rPr>
        <w:t>childhood obesity</w:t>
      </w:r>
      <w:r w:rsidR="008E5996">
        <w:rPr>
          <w:color w:val="auto"/>
        </w:rPr>
        <w:t xml:space="preserve"> in the United States. Fifth</w:t>
      </w:r>
      <w:r w:rsidRPr="00F06898">
        <w:rPr>
          <w:color w:val="auto"/>
        </w:rPr>
        <w:t xml:space="preserve">, </w:t>
      </w:r>
      <w:r>
        <w:rPr>
          <w:color w:val="auto"/>
        </w:rPr>
        <w:t>each child</w:t>
      </w:r>
      <w:r w:rsidR="000D13FC">
        <w:rPr>
          <w:color w:val="auto"/>
        </w:rPr>
        <w:t>’</w:t>
      </w:r>
      <w:r>
        <w:rPr>
          <w:color w:val="auto"/>
        </w:rPr>
        <w:t xml:space="preserve">s estimate was </w:t>
      </w:r>
      <w:r w:rsidRPr="00F06898">
        <w:rPr>
          <w:color w:val="auto"/>
        </w:rPr>
        <w:t xml:space="preserve">based on </w:t>
      </w:r>
      <w:r>
        <w:rPr>
          <w:color w:val="auto"/>
        </w:rPr>
        <w:t>clinical records</w:t>
      </w:r>
      <w:r w:rsidRPr="00F06898">
        <w:rPr>
          <w:color w:val="auto"/>
        </w:rPr>
        <w:t xml:space="preserve"> </w:t>
      </w:r>
      <w:r>
        <w:rPr>
          <w:color w:val="auto"/>
        </w:rPr>
        <w:t xml:space="preserve">from a single visit </w:t>
      </w:r>
      <w:r w:rsidRPr="00F06898">
        <w:rPr>
          <w:color w:val="auto"/>
        </w:rPr>
        <w:t xml:space="preserve">and </w:t>
      </w:r>
      <w:r w:rsidR="00B24A98">
        <w:rPr>
          <w:color w:val="auto"/>
        </w:rPr>
        <w:t xml:space="preserve">was </w:t>
      </w:r>
      <w:r w:rsidRPr="00F06898">
        <w:rPr>
          <w:color w:val="auto"/>
        </w:rPr>
        <w:t xml:space="preserve">not verified. </w:t>
      </w:r>
      <w:r>
        <w:rPr>
          <w:color w:val="auto"/>
        </w:rPr>
        <w:t>Human error, so</w:t>
      </w:r>
      <w:r w:rsidR="008E5996">
        <w:rPr>
          <w:color w:val="auto"/>
        </w:rPr>
        <w:t>ftware glitches, and user er</w:t>
      </w:r>
      <w:r>
        <w:rPr>
          <w:color w:val="auto"/>
        </w:rPr>
        <w:t>rors could be present</w:t>
      </w:r>
      <w:r w:rsidR="00B24A98">
        <w:rPr>
          <w:color w:val="auto"/>
        </w:rPr>
        <w:t>,</w:t>
      </w:r>
      <w:r>
        <w:rPr>
          <w:color w:val="auto"/>
        </w:rPr>
        <w:t xml:space="preserve"> and thus the actual height and weight of the child</w:t>
      </w:r>
      <w:r w:rsidR="003C0530">
        <w:rPr>
          <w:color w:val="auto"/>
        </w:rPr>
        <w:t xml:space="preserve"> or teen</w:t>
      </w:r>
      <w:r>
        <w:rPr>
          <w:color w:val="auto"/>
        </w:rPr>
        <w:t xml:space="preserve"> may differ from the EHR record</w:t>
      </w:r>
      <w:r w:rsidRPr="00F06898">
        <w:rPr>
          <w:color w:val="auto"/>
        </w:rPr>
        <w:t xml:space="preserve">. </w:t>
      </w:r>
      <w:r w:rsidR="008E5996">
        <w:rPr>
          <w:color w:val="auto"/>
        </w:rPr>
        <w:t>Sixth</w:t>
      </w:r>
      <w:r w:rsidRPr="00F06898">
        <w:rPr>
          <w:color w:val="auto"/>
        </w:rPr>
        <w:t xml:space="preserve">, </w:t>
      </w:r>
      <w:r>
        <w:rPr>
          <w:color w:val="auto"/>
        </w:rPr>
        <w:t>height and weight measurement protocols may differ between medical providers, even with clear recommendations aimed to increase consistency between medical professionals</w:t>
      </w:r>
      <w:r w:rsidR="00F321F0">
        <w:rPr>
          <w:color w:val="auto"/>
        </w:rPr>
        <w:t xml:space="preserve"> (Best</w:t>
      </w:r>
      <w:r w:rsidR="002D23AA">
        <w:rPr>
          <w:color w:val="auto"/>
        </w:rPr>
        <w:t xml:space="preserve"> &amp; Shepherd</w:t>
      </w:r>
      <w:r w:rsidR="00F321F0">
        <w:rPr>
          <w:color w:val="auto"/>
        </w:rPr>
        <w:t>, 2020)</w:t>
      </w:r>
      <w:r>
        <w:rPr>
          <w:color w:val="auto"/>
        </w:rPr>
        <w:t xml:space="preserve">. </w:t>
      </w:r>
      <w:r w:rsidR="008E5996">
        <w:rPr>
          <w:color w:val="auto"/>
        </w:rPr>
        <w:t>Seventh</w:t>
      </w:r>
      <w:r w:rsidRPr="00F06898">
        <w:rPr>
          <w:color w:val="auto"/>
        </w:rPr>
        <w:t xml:space="preserve">, the </w:t>
      </w:r>
      <w:r>
        <w:rPr>
          <w:color w:val="auto"/>
        </w:rPr>
        <w:t xml:space="preserve">2015 to 2016 NHANES results </w:t>
      </w:r>
      <w:r w:rsidRPr="00F06898">
        <w:rPr>
          <w:color w:val="auto"/>
        </w:rPr>
        <w:t xml:space="preserve">might not be directly comparable with the </w:t>
      </w:r>
      <w:r>
        <w:rPr>
          <w:color w:val="auto"/>
        </w:rPr>
        <w:t>2016</w:t>
      </w:r>
      <w:r w:rsidRPr="00F06898">
        <w:rPr>
          <w:color w:val="auto"/>
        </w:rPr>
        <w:t xml:space="preserve"> </w:t>
      </w:r>
      <w:r>
        <w:rPr>
          <w:color w:val="auto"/>
        </w:rPr>
        <w:t xml:space="preserve">IQVIA estimates </w:t>
      </w:r>
      <w:r w:rsidRPr="00F06898">
        <w:rPr>
          <w:color w:val="auto"/>
        </w:rPr>
        <w:t xml:space="preserve">because </w:t>
      </w:r>
      <w:r>
        <w:rPr>
          <w:color w:val="auto"/>
        </w:rPr>
        <w:t xml:space="preserve">they represent </w:t>
      </w:r>
      <w:r w:rsidRPr="00F06898">
        <w:rPr>
          <w:color w:val="auto"/>
        </w:rPr>
        <w:t xml:space="preserve">different </w:t>
      </w:r>
      <w:r>
        <w:rPr>
          <w:color w:val="auto"/>
        </w:rPr>
        <w:t xml:space="preserve">populations. NHANES estimates obesity for the </w:t>
      </w:r>
      <w:r w:rsidRPr="00E14A75">
        <w:rPr>
          <w:color w:val="auto"/>
        </w:rPr>
        <w:t>non</w:t>
      </w:r>
      <w:r w:rsidR="00115E85">
        <w:rPr>
          <w:color w:val="auto"/>
        </w:rPr>
        <w:t>-</w:t>
      </w:r>
      <w:r w:rsidRPr="00E14A75">
        <w:rPr>
          <w:color w:val="auto"/>
        </w:rPr>
        <w:t>institutionalized civilian resident</w:t>
      </w:r>
      <w:r>
        <w:rPr>
          <w:color w:val="auto"/>
        </w:rPr>
        <w:t>ial</w:t>
      </w:r>
      <w:r w:rsidRPr="00E14A75">
        <w:rPr>
          <w:color w:val="auto"/>
        </w:rPr>
        <w:t xml:space="preserve"> population of the United States</w:t>
      </w:r>
      <w:r>
        <w:rPr>
          <w:color w:val="auto"/>
        </w:rPr>
        <w:t xml:space="preserve"> </w:t>
      </w:r>
      <w:r w:rsidR="00115E85">
        <w:rPr>
          <w:color w:val="auto"/>
        </w:rPr>
        <w:t>using</w:t>
      </w:r>
      <w:r>
        <w:rPr>
          <w:color w:val="auto"/>
        </w:rPr>
        <w:t xml:space="preserve"> an address</w:t>
      </w:r>
      <w:r w:rsidR="00B24A98">
        <w:rPr>
          <w:color w:val="auto"/>
        </w:rPr>
        <w:t>-</w:t>
      </w:r>
      <w:r>
        <w:rPr>
          <w:color w:val="auto"/>
        </w:rPr>
        <w:t xml:space="preserve">based sample. NHANES sample frame does not include </w:t>
      </w:r>
      <w:r w:rsidRPr="00F17804">
        <w:rPr>
          <w:color w:val="auto"/>
        </w:rPr>
        <w:t>persons residing in nursing homes, members of the armed forces, institutionalized persons, or U.S. nationals living abroad</w:t>
      </w:r>
      <w:r>
        <w:rPr>
          <w:color w:val="auto"/>
        </w:rPr>
        <w:t>. Childhood obesity estimates from NHANES</w:t>
      </w:r>
      <w:r w:rsidRPr="00F17804">
        <w:rPr>
          <w:color w:val="auto"/>
        </w:rPr>
        <w:t xml:space="preserve"> </w:t>
      </w:r>
      <w:r>
        <w:rPr>
          <w:color w:val="auto"/>
        </w:rPr>
        <w:t>exclude pregnant females from all published tables</w:t>
      </w:r>
      <w:r w:rsidR="00B24A98">
        <w:rPr>
          <w:color w:val="auto"/>
        </w:rPr>
        <w:t>,</w:t>
      </w:r>
      <w:r>
        <w:rPr>
          <w:color w:val="auto"/>
        </w:rPr>
        <w:t xml:space="preserve"> whereas CODI estimates obesity for all </w:t>
      </w:r>
      <w:r w:rsidR="00504041">
        <w:rPr>
          <w:color w:val="auto"/>
        </w:rPr>
        <w:t>children and teens</w:t>
      </w:r>
      <w:r>
        <w:rPr>
          <w:color w:val="auto"/>
        </w:rPr>
        <w:t xml:space="preserve"> who visit a participating clinic in the United States and does not exclude pregnant females or institutionalized </w:t>
      </w:r>
      <w:r w:rsidR="00504041">
        <w:rPr>
          <w:color w:val="auto"/>
        </w:rPr>
        <w:t>children and teens</w:t>
      </w:r>
      <w:r>
        <w:rPr>
          <w:color w:val="auto"/>
        </w:rPr>
        <w:t xml:space="preserve">, </w:t>
      </w:r>
      <w:r w:rsidR="00504041">
        <w:rPr>
          <w:color w:val="auto"/>
        </w:rPr>
        <w:t>children and teens</w:t>
      </w:r>
      <w:r>
        <w:rPr>
          <w:color w:val="auto"/>
        </w:rPr>
        <w:t xml:space="preserve"> of active duty personnel, or </w:t>
      </w:r>
      <w:r w:rsidR="00504041">
        <w:rPr>
          <w:color w:val="auto"/>
        </w:rPr>
        <w:t>children and teens</w:t>
      </w:r>
      <w:r>
        <w:rPr>
          <w:color w:val="auto"/>
        </w:rPr>
        <w:t xml:space="preserve"> who do not reside in a home (e.g.</w:t>
      </w:r>
      <w:r w:rsidR="00B24A98">
        <w:rPr>
          <w:color w:val="auto"/>
        </w:rPr>
        <w:t>,</w:t>
      </w:r>
      <w:r>
        <w:rPr>
          <w:color w:val="auto"/>
        </w:rPr>
        <w:t xml:space="preserve"> homeless and </w:t>
      </w:r>
      <w:r w:rsidR="00115E85">
        <w:rPr>
          <w:color w:val="auto"/>
        </w:rPr>
        <w:t>those</w:t>
      </w:r>
      <w:r>
        <w:rPr>
          <w:color w:val="auto"/>
        </w:rPr>
        <w:t xml:space="preserve"> visiting from abroad). Post</w:t>
      </w:r>
      <w:r w:rsidR="000C3F14">
        <w:rPr>
          <w:color w:val="auto"/>
        </w:rPr>
        <w:t>-</w:t>
      </w:r>
      <w:r>
        <w:rPr>
          <w:color w:val="auto"/>
        </w:rPr>
        <w:t xml:space="preserve">stratification weighting does adjust the count of </w:t>
      </w:r>
      <w:r w:rsidR="00504041">
        <w:rPr>
          <w:color w:val="auto"/>
        </w:rPr>
        <w:t>children and teens</w:t>
      </w:r>
      <w:r>
        <w:rPr>
          <w:color w:val="auto"/>
        </w:rPr>
        <w:t xml:space="preserve"> within CODI to represent all </w:t>
      </w:r>
      <w:r w:rsidR="00B24A98">
        <w:rPr>
          <w:color w:val="auto"/>
        </w:rPr>
        <w:t xml:space="preserve">U.S. </w:t>
      </w:r>
      <w:r>
        <w:rPr>
          <w:color w:val="auto"/>
        </w:rPr>
        <w:t xml:space="preserve">residents. </w:t>
      </w:r>
      <w:r w:rsidR="008E5996">
        <w:rPr>
          <w:color w:val="auto"/>
        </w:rPr>
        <w:t>Eighth</w:t>
      </w:r>
      <w:r w:rsidRPr="00F06898">
        <w:rPr>
          <w:color w:val="auto"/>
        </w:rPr>
        <w:t xml:space="preserve">, </w:t>
      </w:r>
      <w:r>
        <w:rPr>
          <w:color w:val="auto"/>
        </w:rPr>
        <w:t>IQVIA provides the birth year of each child</w:t>
      </w:r>
      <w:r w:rsidR="00112B39">
        <w:rPr>
          <w:color w:val="auto"/>
        </w:rPr>
        <w:t xml:space="preserve"> and teen</w:t>
      </w:r>
      <w:r w:rsidR="00B24A98">
        <w:rPr>
          <w:color w:val="auto"/>
        </w:rPr>
        <w:t>,</w:t>
      </w:r>
      <w:r>
        <w:rPr>
          <w:color w:val="auto"/>
        </w:rPr>
        <w:t xml:space="preserve"> whereas NHANES relies on proxy reported date</w:t>
      </w:r>
      <w:r w:rsidR="00B24A98">
        <w:rPr>
          <w:color w:val="auto"/>
        </w:rPr>
        <w:t xml:space="preserve"> </w:t>
      </w:r>
      <w:r>
        <w:rPr>
          <w:color w:val="auto"/>
        </w:rPr>
        <w:t>of</w:t>
      </w:r>
      <w:r w:rsidR="00B24A98">
        <w:rPr>
          <w:color w:val="auto"/>
        </w:rPr>
        <w:t xml:space="preserve"> </w:t>
      </w:r>
      <w:r>
        <w:rPr>
          <w:color w:val="auto"/>
        </w:rPr>
        <w:t>birth and CODI relies on the date</w:t>
      </w:r>
      <w:r w:rsidR="00B24A98">
        <w:rPr>
          <w:color w:val="auto"/>
        </w:rPr>
        <w:t xml:space="preserve"> </w:t>
      </w:r>
      <w:r>
        <w:rPr>
          <w:color w:val="auto"/>
        </w:rPr>
        <w:t>of</w:t>
      </w:r>
      <w:r w:rsidR="00B24A98">
        <w:rPr>
          <w:color w:val="auto"/>
        </w:rPr>
        <w:t xml:space="preserve"> </w:t>
      </w:r>
      <w:r>
        <w:rPr>
          <w:color w:val="auto"/>
        </w:rPr>
        <w:t xml:space="preserve">birth in medical records. Since date of birth is not available in IQVIA, all </w:t>
      </w:r>
      <w:r w:rsidR="00504041">
        <w:rPr>
          <w:color w:val="auto"/>
        </w:rPr>
        <w:t>children and teens</w:t>
      </w:r>
      <w:r>
        <w:rPr>
          <w:color w:val="auto"/>
        </w:rPr>
        <w:t xml:space="preserve"> are assigned the same arbitrary birth date</w:t>
      </w:r>
      <w:r w:rsidR="00B24A98">
        <w:rPr>
          <w:color w:val="auto"/>
        </w:rPr>
        <w:t>,</w:t>
      </w:r>
      <w:r>
        <w:rPr>
          <w:color w:val="auto"/>
        </w:rPr>
        <w:t xml:space="preserve"> and thus their age is an approximation, but not known. </w:t>
      </w:r>
    </w:p>
    <w:p w14:paraId="4A15D8BD" w14:textId="77777777" w:rsidR="005D10C6" w:rsidRDefault="00DB5401" w:rsidP="00A3194F">
      <w:pPr>
        <w:pStyle w:val="Heading2"/>
        <w:spacing w:after="0"/>
      </w:pPr>
      <w:bookmarkStart w:id="28" w:name="_Toc46395235"/>
      <w:r>
        <w:t>Document Organization</w:t>
      </w:r>
      <w:bookmarkEnd w:id="21"/>
      <w:bookmarkEnd w:id="22"/>
      <w:bookmarkEnd w:id="23"/>
      <w:bookmarkEnd w:id="24"/>
      <w:bookmarkEnd w:id="25"/>
      <w:bookmarkEnd w:id="26"/>
      <w:bookmarkEnd w:id="27"/>
      <w:bookmarkEnd w:id="28"/>
    </w:p>
    <w:p w14:paraId="4328AB9E" w14:textId="77777777" w:rsidR="005D10C6" w:rsidRDefault="00DB5401" w:rsidP="009D3F3A">
      <w:r w:rsidRPr="005E673B">
        <w:t>This document is organized as follows:</w:t>
      </w:r>
    </w:p>
    <w:p w14:paraId="39D180FD" w14:textId="77777777" w:rsidR="00F342C0" w:rsidRPr="00F5518E" w:rsidRDefault="005E673B" w:rsidP="00A3194F">
      <w:pPr>
        <w:pStyle w:val="BulletListMultiple"/>
      </w:pPr>
      <w:r w:rsidRPr="00F5518E">
        <w:t xml:space="preserve">Section </w:t>
      </w:r>
      <w:r w:rsidRPr="00050CB1">
        <w:fldChar w:fldCharType="begin"/>
      </w:r>
      <w:r w:rsidRPr="00F5518E">
        <w:instrText xml:space="preserve"> REF _Ref12610549 \r \h  \* MERGEFORMAT </w:instrText>
      </w:r>
      <w:r w:rsidRPr="00050CB1">
        <w:fldChar w:fldCharType="separate"/>
      </w:r>
      <w:r w:rsidRPr="00F5518E">
        <w:t>2</w:t>
      </w:r>
      <w:r w:rsidRPr="00050CB1">
        <w:fldChar w:fldCharType="end"/>
      </w:r>
      <w:r w:rsidRPr="00F5518E">
        <w:t xml:space="preserve"> – </w:t>
      </w:r>
      <w:r w:rsidR="00E774D6" w:rsidRPr="00F5518E">
        <w:t>Data Pre-processing</w:t>
      </w:r>
    </w:p>
    <w:p w14:paraId="354E355D" w14:textId="2C02FD26" w:rsidR="005E673B" w:rsidRPr="00F5518E" w:rsidRDefault="00F342C0" w:rsidP="00A3194F">
      <w:pPr>
        <w:pStyle w:val="BulletListMultiple"/>
      </w:pPr>
      <w:r w:rsidRPr="00F5518E">
        <w:t xml:space="preserve">Section 3 – </w:t>
      </w:r>
      <w:r w:rsidR="00E774D6" w:rsidRPr="00F5518E">
        <w:t xml:space="preserve">Reference </w:t>
      </w:r>
      <w:r w:rsidR="00602B54" w:rsidRPr="00F5518E">
        <w:t>D</w:t>
      </w:r>
      <w:r w:rsidR="00E774D6" w:rsidRPr="00F5518E">
        <w:t>ata</w:t>
      </w:r>
      <w:r w:rsidR="00B24A98">
        <w:t xml:space="preserve"> S</w:t>
      </w:r>
      <w:r w:rsidR="00E774D6" w:rsidRPr="00F5518E">
        <w:t>ets</w:t>
      </w:r>
    </w:p>
    <w:p w14:paraId="14620741" w14:textId="77777777" w:rsidR="006D24B6" w:rsidRPr="00F5518E" w:rsidRDefault="005E673B" w:rsidP="00A3194F">
      <w:pPr>
        <w:pStyle w:val="BulletListMultiple"/>
      </w:pPr>
      <w:r w:rsidRPr="00F5518E">
        <w:t xml:space="preserve">Section </w:t>
      </w:r>
      <w:r w:rsidR="00F342C0" w:rsidRPr="00F5518E">
        <w:t>4</w:t>
      </w:r>
      <w:r w:rsidR="000D4555" w:rsidRPr="00F5518E">
        <w:t xml:space="preserve"> </w:t>
      </w:r>
      <w:r w:rsidRPr="00F5518E">
        <w:t>–</w:t>
      </w:r>
      <w:r w:rsidR="00D8747A" w:rsidRPr="00F5518E">
        <w:t xml:space="preserve"> </w:t>
      </w:r>
      <w:r w:rsidR="00E774D6" w:rsidRPr="00F5518E">
        <w:t>Assumptions</w:t>
      </w:r>
    </w:p>
    <w:p w14:paraId="0FBD139F" w14:textId="77777777" w:rsidR="005E673B" w:rsidRPr="00F5518E" w:rsidRDefault="006D24B6" w:rsidP="00A3194F">
      <w:pPr>
        <w:pStyle w:val="BulletListMultiple"/>
      </w:pPr>
      <w:r w:rsidRPr="00F5518E">
        <w:t xml:space="preserve">Section </w:t>
      </w:r>
      <w:r w:rsidR="003376B1" w:rsidRPr="00F5518E">
        <w:t>5</w:t>
      </w:r>
      <w:r w:rsidRPr="00F5518E">
        <w:t xml:space="preserve"> – </w:t>
      </w:r>
      <w:r w:rsidR="00E774D6" w:rsidRPr="00F5518E">
        <w:t>Algorithm Use</w:t>
      </w:r>
    </w:p>
    <w:p w14:paraId="63A6676B" w14:textId="23D99A47" w:rsidR="00D8747A" w:rsidRPr="00F5518E" w:rsidRDefault="00E76258" w:rsidP="00A3194F">
      <w:pPr>
        <w:pStyle w:val="BulletListMultiple"/>
      </w:pPr>
      <w:r w:rsidRPr="00050CB1">
        <w:fldChar w:fldCharType="begin"/>
      </w:r>
      <w:r w:rsidRPr="00F5518E">
        <w:instrText xml:space="preserve"> REF _Ref38637560 \r \h </w:instrText>
      </w:r>
      <w:r w:rsidR="00F5518E">
        <w:instrText xml:space="preserve"> \* MERGEFORMAT </w:instrText>
      </w:r>
      <w:r w:rsidRPr="00050CB1">
        <w:fldChar w:fldCharType="separate"/>
      </w:r>
      <w:r w:rsidRPr="00F5518E">
        <w:t xml:space="preserve">Appendix A </w:t>
      </w:r>
      <w:r w:rsidRPr="00050CB1">
        <w:fldChar w:fldCharType="end"/>
      </w:r>
      <w:r w:rsidRPr="00F5518E">
        <w:t>–</w:t>
      </w:r>
      <w:r w:rsidR="00D8747A" w:rsidRPr="00F5518E">
        <w:t xml:space="preserve"> Methodology Notes</w:t>
      </w:r>
    </w:p>
    <w:p w14:paraId="01DA579B" w14:textId="09B66F7A" w:rsidR="000C3F14" w:rsidRPr="00F5518E" w:rsidRDefault="00F321F0" w:rsidP="00A3194F">
      <w:pPr>
        <w:pStyle w:val="BulletListMultiple"/>
      </w:pPr>
      <w:r>
        <w:t>Appendix B</w:t>
      </w:r>
      <w:r w:rsidR="000C3F14" w:rsidRPr="00F5518E">
        <w:t xml:space="preserve"> </w:t>
      </w:r>
      <w:r w:rsidR="00115E85" w:rsidRPr="00F5518E">
        <w:t>–</w:t>
      </w:r>
      <w:r w:rsidR="000C3F14" w:rsidRPr="00F5518E">
        <w:t xml:space="preserve"> FIPS Codes and State Names</w:t>
      </w:r>
    </w:p>
    <w:p w14:paraId="305F7FB8" w14:textId="77777777" w:rsidR="000C3F14" w:rsidRPr="005E673B" w:rsidRDefault="000C3F14" w:rsidP="00A3194F">
      <w:pPr>
        <w:pStyle w:val="BulletListMultipleLast"/>
      </w:pPr>
      <w:r>
        <w:t>References</w:t>
      </w:r>
    </w:p>
    <w:p w14:paraId="5AB38857" w14:textId="77777777" w:rsidR="007D145E" w:rsidRDefault="00E774D6" w:rsidP="009D3F3A">
      <w:pPr>
        <w:pStyle w:val="Heading1"/>
        <w:spacing w:after="0"/>
      </w:pPr>
      <w:bookmarkStart w:id="29" w:name="_Toc480895639"/>
      <w:bookmarkStart w:id="30" w:name="_Ref12610549"/>
      <w:bookmarkStart w:id="31" w:name="_Toc46395236"/>
      <w:bookmarkStart w:id="32" w:name="_Ref12360230"/>
      <w:bookmarkStart w:id="33" w:name="_Ref12360236"/>
      <w:bookmarkEnd w:id="29"/>
      <w:r w:rsidRPr="00A3194F">
        <w:lastRenderedPageBreak/>
        <w:t>Data Pre-processing</w:t>
      </w:r>
      <w:bookmarkEnd w:id="30"/>
      <w:bookmarkEnd w:id="31"/>
    </w:p>
    <w:p w14:paraId="348261ED" w14:textId="315468F8" w:rsidR="00674989" w:rsidRPr="00050CB1" w:rsidRDefault="00674989" w:rsidP="00A3194F">
      <w:r>
        <w:t xml:space="preserve">This section describes pre-processing steps conducted by an EHR algorithm used to clean pediatric height and weight data from EHRs, the data source used to provide population-level estimates at the </w:t>
      </w:r>
      <w:r w:rsidR="00050CB1">
        <w:t xml:space="preserve">state, state and ZCTA3, and </w:t>
      </w:r>
      <w:r>
        <w:t>state and county level</w:t>
      </w:r>
      <w:r w:rsidR="00B24A98">
        <w:t>s</w:t>
      </w:r>
      <w:r>
        <w:t xml:space="preserve">, and how </w:t>
      </w:r>
      <w:r w:rsidR="00B24A98">
        <w:t xml:space="preserve">this </w:t>
      </w:r>
      <w:r>
        <w:t xml:space="preserve">data </w:t>
      </w:r>
      <w:r w:rsidR="00B24A98">
        <w:t xml:space="preserve">is </w:t>
      </w:r>
      <w:r>
        <w:t>merged to the EHR data.</w:t>
      </w:r>
    </w:p>
    <w:p w14:paraId="3AB5FBDA" w14:textId="0E4BCCD6" w:rsidR="00F25AE7" w:rsidRPr="008610F8" w:rsidRDefault="00115E85" w:rsidP="00A3194F">
      <w:pPr>
        <w:pStyle w:val="Heading2"/>
      </w:pPr>
      <w:bookmarkStart w:id="34" w:name="_Toc45542317"/>
      <w:bookmarkStart w:id="35" w:name="_Toc45542318"/>
      <w:bookmarkStart w:id="36" w:name="_Toc46395237"/>
      <w:bookmarkEnd w:id="34"/>
      <w:bookmarkEnd w:id="35"/>
      <w:r>
        <w:t>G</w:t>
      </w:r>
      <w:r w:rsidR="00F25AE7">
        <w:t>rowthcleanr</w:t>
      </w:r>
      <w:bookmarkEnd w:id="36"/>
    </w:p>
    <w:p w14:paraId="764DCE77" w14:textId="56829CCF" w:rsidR="00F25AE7" w:rsidRDefault="008610F8" w:rsidP="008610F8">
      <w:r>
        <w:t>The growthcleanr function is a</w:t>
      </w:r>
      <w:r w:rsidR="00F25AE7">
        <w:t>n</w:t>
      </w:r>
      <w:r>
        <w:t xml:space="preserve"> </w:t>
      </w:r>
      <w:r w:rsidR="00F25AE7">
        <w:t xml:space="preserve">R package for cleaning data from </w:t>
      </w:r>
      <w:r w:rsidR="00B24A98">
        <w:t>EHR</w:t>
      </w:r>
      <w:r w:rsidR="00F25AE7">
        <w:t xml:space="preserve"> systems, focused on cleaning height and weight measurements. Growthcleanr implements the Daymont et al. </w:t>
      </w:r>
      <w:r w:rsidR="002D23AA">
        <w:t xml:space="preserve">(2017) </w:t>
      </w:r>
      <w:r w:rsidR="00F25AE7">
        <w:t>algorithm</w:t>
      </w:r>
      <w:r w:rsidR="00B24A98">
        <w:t>,</w:t>
      </w:r>
      <w:r w:rsidR="009A1B7A" w:rsidDel="009A1B7A">
        <w:rPr>
          <w:rStyle w:val="FootnoteReference"/>
        </w:rPr>
        <w:t xml:space="preserve"> </w:t>
      </w:r>
      <w:r w:rsidR="00F25AE7">
        <w:t xml:space="preserve"> as specified in Supplemental File 3 within the Supplementary Material published with that paper. For more information</w:t>
      </w:r>
      <w:r w:rsidR="00B24A98">
        <w:t>,</w:t>
      </w:r>
      <w:r w:rsidR="00F25AE7">
        <w:t xml:space="preserve"> please visit </w:t>
      </w:r>
      <w:hyperlink r:id="rId17" w:history="1">
        <w:r w:rsidR="00F25AE7" w:rsidRPr="00E26217">
          <w:rPr>
            <w:rStyle w:val="Hyperlink"/>
          </w:rPr>
          <w:t>https://github.com/mitre/growthcleanr</w:t>
        </w:r>
      </w:hyperlink>
      <w:r w:rsidR="00B24A98">
        <w:rPr>
          <w:rStyle w:val="Hyperlink"/>
        </w:rPr>
        <w:t>.</w:t>
      </w:r>
      <w:r w:rsidR="00F25AE7">
        <w:t xml:space="preserve"> Data inputs must be pre-processed using </w:t>
      </w:r>
      <w:r w:rsidR="00050CB1">
        <w:t xml:space="preserve">either </w:t>
      </w:r>
      <w:r w:rsidR="00F25AE7">
        <w:t xml:space="preserve">growthcleanr </w:t>
      </w:r>
      <w:r w:rsidR="00050CB1">
        <w:t xml:space="preserve">or something that will produce EHR data with similar assumptions (one record per person per year, identical variable names and format) </w:t>
      </w:r>
      <w:r w:rsidR="00F25AE7">
        <w:t>prior to CODI-PQ.</w:t>
      </w:r>
    </w:p>
    <w:p w14:paraId="21F6AB6F" w14:textId="6BC6A077" w:rsidR="00A72912" w:rsidRDefault="0077614D" w:rsidP="00A3194F">
      <w:pPr>
        <w:pStyle w:val="Heading2"/>
      </w:pPr>
      <w:bookmarkStart w:id="37" w:name="_Toc46395238"/>
      <w:r>
        <w:t>Pre</w:t>
      </w:r>
      <w:r w:rsidR="00B24A98">
        <w:t>-</w:t>
      </w:r>
      <w:r>
        <w:t>processing CODI-PQ</w:t>
      </w:r>
      <w:r w:rsidR="000D13FC">
        <w:t xml:space="preserve"> </w:t>
      </w:r>
      <w:r w:rsidR="00B24A98">
        <w:t>A</w:t>
      </w:r>
      <w:r w:rsidR="00A72912">
        <w:t>lgorithm</w:t>
      </w:r>
      <w:bookmarkEnd w:id="37"/>
    </w:p>
    <w:p w14:paraId="24B0B6A9" w14:textId="3E06EB51" w:rsidR="00A72912" w:rsidRDefault="00A72912">
      <w:r>
        <w:t xml:space="preserve">The </w:t>
      </w:r>
      <w:r w:rsidR="0077614D">
        <w:t>pre</w:t>
      </w:r>
      <w:r w:rsidR="00115E85">
        <w:t>-</w:t>
      </w:r>
      <w:r w:rsidR="0077614D">
        <w:t>processing CODI-PQ</w:t>
      </w:r>
      <w:r>
        <w:t xml:space="preserve"> algorithm </w:t>
      </w:r>
      <w:r w:rsidR="0077614D">
        <w:t xml:space="preserve">1) </w:t>
      </w:r>
      <w:r>
        <w:t xml:space="preserve">imports </w:t>
      </w:r>
      <w:r w:rsidR="0077614D">
        <w:t xml:space="preserve">EHR and </w:t>
      </w:r>
      <w:r w:rsidR="00B24A98">
        <w:t>American Community Survey (</w:t>
      </w:r>
      <w:r>
        <w:t>ACS</w:t>
      </w:r>
      <w:r w:rsidR="00B24A98">
        <w:t>)</w:t>
      </w:r>
      <w:r>
        <w:t xml:space="preserve"> data, </w:t>
      </w:r>
      <w:r w:rsidR="0077614D">
        <w:t xml:space="preserve">2) </w:t>
      </w:r>
      <w:r>
        <w:t xml:space="preserve">compiles </w:t>
      </w:r>
      <w:r w:rsidR="00B24A98">
        <w:t>the data</w:t>
      </w:r>
      <w:r w:rsidR="006A399E">
        <w:t>,</w:t>
      </w:r>
      <w:r>
        <w:t xml:space="preserve"> and </w:t>
      </w:r>
      <w:r w:rsidR="0077614D">
        <w:t xml:space="preserve">3) </w:t>
      </w:r>
      <w:r>
        <w:t xml:space="preserve">imputes race for </w:t>
      </w:r>
      <w:r w:rsidR="00504041">
        <w:t>children and teens</w:t>
      </w:r>
      <w:r>
        <w:t xml:space="preserve"> missing race information</w:t>
      </w:r>
      <w:r w:rsidR="008610F8" w:rsidRPr="00A912DC">
        <w:t xml:space="preserve">. </w:t>
      </w:r>
      <w:r w:rsidR="00B16EB6">
        <w:t>CODI-PQ calculates statistical weights based on age, sex, race, and geographic location (education) for all children and teens, yet clinical data includes children and teens</w:t>
      </w:r>
      <w:r w:rsidR="00B16EB6" w:rsidRPr="00A912DC">
        <w:t xml:space="preserve"> who</w:t>
      </w:r>
      <w:r w:rsidR="00B16EB6">
        <w:t xml:space="preserve">se </w:t>
      </w:r>
      <w:r w:rsidR="00B16EB6" w:rsidRPr="00A912DC">
        <w:t>rac</w:t>
      </w:r>
      <w:r w:rsidR="00B16EB6">
        <w:t>e information is unknown. This algorithm is required to pre-process all data before calculating prevalence estimates.</w:t>
      </w:r>
    </w:p>
    <w:p w14:paraId="2A5C3D86" w14:textId="77777777" w:rsidR="00A72912" w:rsidRDefault="00A72912" w:rsidP="00A3194F">
      <w:pPr>
        <w:pStyle w:val="Heading3"/>
      </w:pPr>
      <w:bookmarkStart w:id="38" w:name="_Toc46395239"/>
      <w:r>
        <w:t>American Community Survey Data</w:t>
      </w:r>
      <w:bookmarkEnd w:id="38"/>
    </w:p>
    <w:p w14:paraId="2FB10623" w14:textId="388F6866" w:rsidR="00A72912" w:rsidRDefault="00FF03CA" w:rsidP="00A3194F">
      <w:pPr>
        <w:spacing w:after="240"/>
      </w:pPr>
      <w:r>
        <w:t>CODI-PQ uses t</w:t>
      </w:r>
      <w:r w:rsidR="00A72912">
        <w:t xml:space="preserve">he American Community Survey </w:t>
      </w:r>
      <w:r w:rsidR="00B16EB6">
        <w:t xml:space="preserve">2018 </w:t>
      </w:r>
      <w:r w:rsidR="00A72912">
        <w:t>five-year estimate public use file (ACS five-year PUF)</w:t>
      </w:r>
      <w:r w:rsidR="008610F8" w:rsidRPr="00A912DC">
        <w:t xml:space="preserve"> </w:t>
      </w:r>
      <w:r w:rsidR="00A72912">
        <w:t xml:space="preserve">for race imputation and statistical weighting to population totals. </w:t>
      </w:r>
      <w:r w:rsidR="0077614D">
        <w:t xml:space="preserve">EHR data </w:t>
      </w:r>
      <w:r w:rsidR="007520FC">
        <w:t>uses</w:t>
      </w:r>
      <w:r w:rsidR="00A72912">
        <w:t xml:space="preserve"> population estimates at the state</w:t>
      </w:r>
      <w:r w:rsidR="007520FC">
        <w:t xml:space="preserve"> </w:t>
      </w:r>
      <w:r w:rsidR="0077614D">
        <w:t>and ZCTA-3</w:t>
      </w:r>
      <w:r w:rsidR="0077614D">
        <w:rPr>
          <w:rStyle w:val="FootnoteReference"/>
        </w:rPr>
        <w:footnoteReference w:id="9"/>
      </w:r>
      <w:r w:rsidR="0077614D">
        <w:t xml:space="preserve"> </w:t>
      </w:r>
      <w:r>
        <w:t>levels</w:t>
      </w:r>
      <w:r w:rsidR="007520FC">
        <w:t xml:space="preserve">. In contrast, CODI-PQ estimates from </w:t>
      </w:r>
      <w:r w:rsidR="00A72912">
        <w:t>CODI</w:t>
      </w:r>
      <w:r w:rsidR="007520FC">
        <w:t>-derived samples</w:t>
      </w:r>
      <w:r w:rsidR="00A72912">
        <w:t xml:space="preserve"> </w:t>
      </w:r>
      <w:r w:rsidR="007520FC">
        <w:t xml:space="preserve">for prevalence values at the county level </w:t>
      </w:r>
      <w:r w:rsidR="00A72912">
        <w:t>utilize population estimates at</w:t>
      </w:r>
      <w:r w:rsidR="007520FC">
        <w:t xml:space="preserve"> </w:t>
      </w:r>
      <w:r w:rsidR="00A72912">
        <w:t>the state</w:t>
      </w:r>
      <w:r w:rsidR="00EE299A">
        <w:t>,</w:t>
      </w:r>
      <w:r w:rsidR="00A72912">
        <w:t xml:space="preserve"> county</w:t>
      </w:r>
      <w:r w:rsidR="00EE299A">
        <w:t>, and ZCTA-3</w:t>
      </w:r>
      <w:r w:rsidR="00A72912">
        <w:t xml:space="preserve"> level</w:t>
      </w:r>
      <w:r w:rsidR="00EE299A">
        <w:t>s</w:t>
      </w:r>
      <w:r w:rsidR="00A72912">
        <w:t xml:space="preserve">. </w:t>
      </w:r>
    </w:p>
    <w:p w14:paraId="3BA83EAB" w14:textId="065D1FA5" w:rsidR="007520FC" w:rsidRDefault="00AD7ADE" w:rsidP="00A3194F">
      <w:pPr>
        <w:spacing w:after="240"/>
      </w:pPr>
      <w:r w:rsidRPr="008A2094">
        <w:t>The ACS is a series of monthly surveys that are compiled to create annual estimates at a geographic level (</w:t>
      </w:r>
      <w:r>
        <w:t xml:space="preserve">state and </w:t>
      </w:r>
      <w:r w:rsidR="00154ACC">
        <w:t>ZCTA-3</w:t>
      </w:r>
      <w:r>
        <w:t xml:space="preserve"> or state and county</w:t>
      </w:r>
      <w:r w:rsidRPr="008A2094">
        <w:t xml:space="preserve">) </w:t>
      </w:r>
      <w:r w:rsidR="00FF03CA">
        <w:t>that</w:t>
      </w:r>
      <w:r w:rsidR="00FF03CA" w:rsidRPr="008A2094">
        <w:t xml:space="preserve"> </w:t>
      </w:r>
      <w:r w:rsidRPr="008A2094">
        <w:t xml:space="preserve">are released as </w:t>
      </w:r>
      <w:r w:rsidR="00FF03CA">
        <w:t>five</w:t>
      </w:r>
      <w:r>
        <w:t>-</w:t>
      </w:r>
      <w:r w:rsidRPr="008A2094">
        <w:t>year estimates. The sample size for the ACS is about 3.54 million addresses per year</w:t>
      </w:r>
      <w:r w:rsidR="00FF03CA">
        <w:t>,</w:t>
      </w:r>
      <w:r w:rsidRPr="008A2094">
        <w:t xml:space="preserve"> and the survey contains various question</w:t>
      </w:r>
      <w:r w:rsidR="00FF03CA">
        <w:t>s</w:t>
      </w:r>
      <w:r w:rsidRPr="008A2094">
        <w:t xml:space="preserve"> regarding demographic and socioeconomic status information about the household. The variables used in these programs pertain to a combination of age, sex, race, and education </w:t>
      </w:r>
      <w:r>
        <w:t>within a geographic area</w:t>
      </w:r>
      <w:r w:rsidRPr="008A2094">
        <w:t>.</w:t>
      </w:r>
      <w:r>
        <w:t xml:space="preserve"> </w:t>
      </w:r>
      <w:r w:rsidR="007520FC">
        <w:t>The PUF population by age estimates do not isolate children aged newborn to 1 year of age from those 2 to 5 years of age. Thus, the CODI-PQ discounts the PUF estimate of children aged 0 to 5 years by 32.6%</w:t>
      </w:r>
      <w:r w:rsidR="00FF03CA">
        <w:t>,</w:t>
      </w:r>
      <w:r w:rsidR="007520FC">
        <w:t xml:space="preserve"> as approximately 67.4% of the age 0 to 5 population in 2018 were age 2 to 5 according to the ACS </w:t>
      </w:r>
      <w:r w:rsidR="003F021C">
        <w:t>one</w:t>
      </w:r>
      <w:r w:rsidR="007520FC">
        <w:t>-year PUF.</w:t>
      </w:r>
    </w:p>
    <w:p w14:paraId="79BBD7AB" w14:textId="30341DC3" w:rsidR="00AD7ADE" w:rsidRDefault="007520FC" w:rsidP="00A3194F">
      <w:pPr>
        <w:spacing w:after="240"/>
      </w:pPr>
      <w:r>
        <w:lastRenderedPageBreak/>
        <w:t>Our sampled data from IQVIA</w:t>
      </w:r>
      <w:r w:rsidR="00AD7ADE">
        <w:t xml:space="preserve"> include</w:t>
      </w:r>
      <w:r>
        <w:t>d</w:t>
      </w:r>
      <w:r w:rsidR="00AD7ADE">
        <w:t xml:space="preserve"> the </w:t>
      </w:r>
      <w:r w:rsidR="00861FA8">
        <w:t>child or teen</w:t>
      </w:r>
      <w:r w:rsidR="000D13FC">
        <w:t>’</w:t>
      </w:r>
      <w:r w:rsidR="00861FA8">
        <w:t xml:space="preserve">s state and </w:t>
      </w:r>
      <w:r w:rsidR="00154ACC">
        <w:t>ZCTA-3</w:t>
      </w:r>
      <w:r>
        <w:t>;</w:t>
      </w:r>
      <w:r w:rsidR="00861FA8">
        <w:t xml:space="preserve"> therefore, </w:t>
      </w:r>
      <w:r>
        <w:t xml:space="preserve">the pre-processing algorithm merges </w:t>
      </w:r>
      <w:r w:rsidR="00861FA8">
        <w:t xml:space="preserve">ACS data based on state and </w:t>
      </w:r>
      <w:r w:rsidR="00154ACC">
        <w:t>ZCTA-3</w:t>
      </w:r>
      <w:r w:rsidR="00861FA8">
        <w:t>.</w:t>
      </w:r>
      <w:r w:rsidR="00AD7ADE">
        <w:t xml:space="preserve"> Data </w:t>
      </w:r>
      <w:r w:rsidR="00FF03CA">
        <w:t xml:space="preserve">is </w:t>
      </w:r>
      <w:r w:rsidR="00AD7ADE">
        <w:t>released by the Census Bur</w:t>
      </w:r>
      <w:r w:rsidR="00861FA8">
        <w:t>eau at the state and ZCTA level</w:t>
      </w:r>
      <w:r w:rsidR="00FF03CA">
        <w:t>s</w:t>
      </w:r>
      <w:r w:rsidR="00861FA8">
        <w:t>. Census</w:t>
      </w:r>
      <w:r w:rsidR="00AD7ADE">
        <w:t xml:space="preserve"> data </w:t>
      </w:r>
      <w:r w:rsidR="00FF03CA">
        <w:t xml:space="preserve">was </w:t>
      </w:r>
      <w:r w:rsidR="00AD7ADE">
        <w:t xml:space="preserve">aggregated to the state and </w:t>
      </w:r>
      <w:r w:rsidR="00154ACC">
        <w:t>ZCTA-3</w:t>
      </w:r>
      <w:r w:rsidR="00AD7ADE">
        <w:t xml:space="preserve"> level</w:t>
      </w:r>
      <w:r w:rsidR="00FF03CA">
        <w:t>s</w:t>
      </w:r>
      <w:r w:rsidR="00861FA8">
        <w:t xml:space="preserve"> and made available at &lt;add link here&gt;</w:t>
      </w:r>
      <w:r w:rsidR="00AD7ADE">
        <w:t>.</w:t>
      </w:r>
      <w:r w:rsidR="00861FA8">
        <w:t xml:space="preserve"> </w:t>
      </w:r>
    </w:p>
    <w:p w14:paraId="364DC4D7" w14:textId="5A667C35" w:rsidR="00861FA8" w:rsidRDefault="00861FA8" w:rsidP="00A3194F">
      <w:pPr>
        <w:spacing w:after="240"/>
      </w:pPr>
      <w:r>
        <w:t>CODI data includes the child or teen</w:t>
      </w:r>
      <w:r w:rsidR="000D13FC">
        <w:t>’</w:t>
      </w:r>
      <w:r>
        <w:t>s state and county</w:t>
      </w:r>
      <w:r w:rsidR="00674989">
        <w:t>;</w:t>
      </w:r>
      <w:r>
        <w:t xml:space="preserve"> therefore, ACS data is merged to CODI</w:t>
      </w:r>
      <w:r w:rsidR="00674989">
        <w:t>-derived data</w:t>
      </w:r>
      <w:r>
        <w:t xml:space="preserve"> based on state and </w:t>
      </w:r>
      <w:r w:rsidR="00674989">
        <w:t>county</w:t>
      </w:r>
      <w:r>
        <w:t xml:space="preserve"> within the algorithm. Census data for CODI </w:t>
      </w:r>
      <w:r w:rsidR="00FF03CA">
        <w:t xml:space="preserve">is </w:t>
      </w:r>
      <w:r>
        <w:t>made available at &lt;add link here&gt;.</w:t>
      </w:r>
    </w:p>
    <w:p w14:paraId="686C1ACD" w14:textId="28B7EA34" w:rsidR="001C444A" w:rsidRPr="00A3194F" w:rsidRDefault="009A651D" w:rsidP="00A3194F">
      <w:pPr>
        <w:pStyle w:val="Heading3"/>
      </w:pPr>
      <w:bookmarkStart w:id="39" w:name="_Toc43983062"/>
      <w:bookmarkStart w:id="40" w:name="_Toc46395240"/>
      <w:r w:rsidRPr="00A3194F">
        <w:t>EHR</w:t>
      </w:r>
      <w:r w:rsidR="00346109" w:rsidRPr="00A3194F">
        <w:t xml:space="preserve"> </w:t>
      </w:r>
      <w:r w:rsidR="00FF03CA">
        <w:t>D</w:t>
      </w:r>
      <w:r w:rsidR="00346109" w:rsidRPr="00A3194F">
        <w:t>ata</w:t>
      </w:r>
      <w:bookmarkEnd w:id="39"/>
      <w:bookmarkEnd w:id="40"/>
    </w:p>
    <w:p w14:paraId="03303BAB" w14:textId="365F08E7" w:rsidR="008610F8" w:rsidRPr="008610F8" w:rsidRDefault="0017601C" w:rsidP="00483D86">
      <w:r>
        <w:t xml:space="preserve">Process all EHR data with </w:t>
      </w:r>
      <w:r w:rsidR="00346109">
        <w:t>the growthcl</w:t>
      </w:r>
      <w:r w:rsidR="00D62FF3">
        <w:t>ea</w:t>
      </w:r>
      <w:r w:rsidR="00346109">
        <w:t>nr</w:t>
      </w:r>
      <w:r w:rsidR="000C3F14">
        <w:rPr>
          <w:rStyle w:val="FootnoteReference"/>
        </w:rPr>
        <w:footnoteReference w:id="10"/>
      </w:r>
      <w:r w:rsidR="00346109">
        <w:t xml:space="preserve"> </w:t>
      </w:r>
      <w:r w:rsidR="002E6F13">
        <w:t xml:space="preserve">and </w:t>
      </w:r>
      <w:r w:rsidR="00674989">
        <w:t>pre</w:t>
      </w:r>
      <w:r w:rsidR="00FF03CA">
        <w:t>-</w:t>
      </w:r>
      <w:r w:rsidR="00674989">
        <w:t xml:space="preserve">processing </w:t>
      </w:r>
      <w:r>
        <w:t>algorithm</w:t>
      </w:r>
      <w:r w:rsidR="00AD22DE">
        <w:t xml:space="preserve"> </w:t>
      </w:r>
      <w:r w:rsidR="00346109">
        <w:t xml:space="preserve">before </w:t>
      </w:r>
      <w:r>
        <w:t xml:space="preserve">creating </w:t>
      </w:r>
      <w:r w:rsidR="00346109">
        <w:t xml:space="preserve">the </w:t>
      </w:r>
      <w:r w:rsidR="009A651D">
        <w:t>prevalence</w:t>
      </w:r>
      <w:r w:rsidR="00346109">
        <w:t xml:space="preserve"> estimates</w:t>
      </w:r>
      <w:r w:rsidR="002E6F13">
        <w:t xml:space="preserve">. The output of the </w:t>
      </w:r>
      <w:r w:rsidR="00674989">
        <w:t>pre</w:t>
      </w:r>
      <w:r w:rsidR="00FF03CA">
        <w:t>-</w:t>
      </w:r>
      <w:r w:rsidR="00674989">
        <w:t>processing algorithm</w:t>
      </w:r>
      <w:r>
        <w:t xml:space="preserve"> </w:t>
      </w:r>
      <w:r w:rsidR="00346109">
        <w:t xml:space="preserve">will </w:t>
      </w:r>
      <w:r w:rsidR="00861FA8">
        <w:t xml:space="preserve">include </w:t>
      </w:r>
      <w:r w:rsidR="002E6F13">
        <w:t>state and</w:t>
      </w:r>
      <w:r w:rsidR="009A651D">
        <w:t xml:space="preserve"> location (state</w:t>
      </w:r>
      <w:r>
        <w:t xml:space="preserve"> </w:t>
      </w:r>
      <w:r w:rsidR="009A651D">
        <w:t>+</w:t>
      </w:r>
      <w:r>
        <w:t xml:space="preserve"> </w:t>
      </w:r>
      <w:r w:rsidR="00154ACC">
        <w:t>ZCTA-3</w:t>
      </w:r>
      <w:r w:rsidR="009A651D">
        <w:t xml:space="preserve"> or state</w:t>
      </w:r>
      <w:r>
        <w:t xml:space="preserve"> </w:t>
      </w:r>
      <w:r w:rsidR="009A651D">
        <w:t>+</w:t>
      </w:r>
      <w:r>
        <w:t xml:space="preserve"> </w:t>
      </w:r>
      <w:r w:rsidR="009A651D">
        <w:t>county)</w:t>
      </w:r>
      <w:r w:rsidR="002E6F13">
        <w:t xml:space="preserve">, age, sex, race/ethnicity, chronic conditions, </w:t>
      </w:r>
      <w:r>
        <w:t xml:space="preserve">height, weight, weight category, </w:t>
      </w:r>
      <w:r w:rsidR="002E6F13">
        <w:t>and count of visits to a provider</w:t>
      </w:r>
      <w:r w:rsidR="00861FA8">
        <w:t xml:space="preserve"> for each child or teen</w:t>
      </w:r>
      <w:r w:rsidR="00346109">
        <w:t>.</w:t>
      </w:r>
      <w:bookmarkEnd w:id="32"/>
      <w:bookmarkEnd w:id="33"/>
    </w:p>
    <w:p w14:paraId="6C6DC179" w14:textId="7F78ECD5" w:rsidR="00B50E7A" w:rsidRDefault="005C466D" w:rsidP="009D3F3A">
      <w:pPr>
        <w:pStyle w:val="Heading1"/>
        <w:spacing w:after="0"/>
      </w:pPr>
      <w:bookmarkStart w:id="41" w:name="_Toc46395241"/>
      <w:r>
        <w:lastRenderedPageBreak/>
        <w:t>Prevalence Estimation Overview</w:t>
      </w:r>
      <w:bookmarkEnd w:id="41"/>
    </w:p>
    <w:p w14:paraId="49A43231" w14:textId="77777777" w:rsidR="00F35058" w:rsidRPr="00050CB1" w:rsidRDefault="00F35058" w:rsidP="00A3194F">
      <w:r>
        <w:t>This section provides an overview of the algorithm output formats, the importance of statistical weights, and the frequency with which the pre-processing and CODI-PQ algorithms can and should be run.</w:t>
      </w:r>
    </w:p>
    <w:p w14:paraId="379E273D" w14:textId="5D22A196" w:rsidR="005C466D" w:rsidRDefault="005C466D" w:rsidP="00A3194F">
      <w:pPr>
        <w:pStyle w:val="Heading2"/>
        <w:spacing w:after="0"/>
      </w:pPr>
      <w:bookmarkStart w:id="42" w:name="_Toc46395242"/>
      <w:r>
        <w:t xml:space="preserve">Estimate </w:t>
      </w:r>
      <w:r w:rsidR="00F35058">
        <w:t>Outputs</w:t>
      </w:r>
      <w:bookmarkEnd w:id="42"/>
    </w:p>
    <w:p w14:paraId="3A0C7553" w14:textId="77315921" w:rsidR="005C466D" w:rsidRDefault="005C466D" w:rsidP="005C466D">
      <w:r>
        <w:t xml:space="preserve">The final prevalence estimates are calculated at each weight category (1 through 4 and 4a) for crude estimates, weighted estimates, and age-adjusted estimates (optional). All prevalence estimates are reviewed </w:t>
      </w:r>
      <w:r w:rsidR="00F35058">
        <w:t>to ensure alignment with</w:t>
      </w:r>
      <w:r>
        <w:t xml:space="preserve"> the </w:t>
      </w:r>
      <w:r w:rsidR="00276FBE">
        <w:t>National Center for Health Statistics (</w:t>
      </w:r>
      <w:r>
        <w:t>NCHS</w:t>
      </w:r>
      <w:r w:rsidR="00276FBE">
        <w:t>)</w:t>
      </w:r>
      <w:r>
        <w:t xml:space="preserve"> </w:t>
      </w:r>
      <w:r w:rsidR="00F35058">
        <w:t>S</w:t>
      </w:r>
      <w:r>
        <w:t>uppression Standards (see Appendix A. Suppression). A final report is generated and exported as a comma separated value (csv) file. If all numeric prevalence estimates are blank (.), then one or more error reason</w:t>
      </w:r>
      <w:r w:rsidR="003F021C">
        <w:t>s</w:t>
      </w:r>
      <w:r>
        <w:t xml:space="preserve"> will be provided (see Error Codes). </w:t>
      </w:r>
    </w:p>
    <w:p w14:paraId="0AFDB5CA" w14:textId="5D2D9DEF" w:rsidR="00D61262" w:rsidRDefault="00F35058" w:rsidP="00A3194F">
      <w:pPr>
        <w:pStyle w:val="Heading2"/>
        <w:spacing w:after="0"/>
      </w:pPr>
      <w:bookmarkStart w:id="43" w:name="_Toc46395243"/>
      <w:r>
        <w:t xml:space="preserve">Importance of </w:t>
      </w:r>
      <w:r w:rsidR="00D61262">
        <w:t>Statistical Weight</w:t>
      </w:r>
      <w:r w:rsidR="00861FA8">
        <w:t>s</w:t>
      </w:r>
      <w:bookmarkEnd w:id="43"/>
    </w:p>
    <w:p w14:paraId="57A1653F" w14:textId="607C7F6B" w:rsidR="00861FA8" w:rsidRDefault="00F35058" w:rsidP="00A3194F">
      <w:pPr>
        <w:spacing w:after="240"/>
      </w:pPr>
      <w:r>
        <w:t xml:space="preserve">Data derived from </w:t>
      </w:r>
      <w:r w:rsidR="00861FA8">
        <w:t>EHR</w:t>
      </w:r>
      <w:r>
        <w:t>s</w:t>
      </w:r>
      <w:r w:rsidR="00861FA8">
        <w:t xml:space="preserve"> represent</w:t>
      </w:r>
      <w:r w:rsidR="00276FBE">
        <w:t>s</w:t>
      </w:r>
      <w:r w:rsidR="008D6B0F">
        <w:t xml:space="preserve"> a </w:t>
      </w:r>
      <w:r w:rsidR="0050219F">
        <w:t>non</w:t>
      </w:r>
      <w:r w:rsidR="003F021C">
        <w:t>-</w:t>
      </w:r>
      <w:r w:rsidR="0050219F">
        <w:t>probability</w:t>
      </w:r>
      <w:r w:rsidR="00861FA8">
        <w:t xml:space="preserve"> </w:t>
      </w:r>
      <w:r w:rsidR="008D6B0F">
        <w:t>sample</w:t>
      </w:r>
      <w:r w:rsidR="00861FA8">
        <w:t xml:space="preserve">. </w:t>
      </w:r>
    </w:p>
    <w:p w14:paraId="112524A4" w14:textId="0309078C" w:rsidR="008D6B0F" w:rsidRDefault="00861FA8" w:rsidP="00A3194F">
      <w:pPr>
        <w:spacing w:after="240"/>
      </w:pPr>
      <w:r>
        <w:t xml:space="preserve">For </w:t>
      </w:r>
      <w:r w:rsidR="00B05891">
        <w:t>CODI-PQ</w:t>
      </w:r>
      <w:r>
        <w:t xml:space="preserve"> estimates</w:t>
      </w:r>
      <w:r w:rsidR="00B05891" w:rsidRPr="00B05891">
        <w:t xml:space="preserve">, the use of </w:t>
      </w:r>
      <w:r w:rsidR="008D619B">
        <w:t>statistical</w:t>
      </w:r>
      <w:r w:rsidR="00B05891" w:rsidRPr="00B05891">
        <w:t xml:space="preserve"> weights is recommended for all analyses because the</w:t>
      </w:r>
      <w:r w:rsidR="00B05891">
        <w:t xml:space="preserve"> </w:t>
      </w:r>
      <w:r w:rsidR="008D619B">
        <w:t>data come</w:t>
      </w:r>
      <w:r w:rsidR="00276FBE">
        <w:t>s</w:t>
      </w:r>
      <w:r w:rsidR="008D619B">
        <w:t xml:space="preserve"> from</w:t>
      </w:r>
      <w:r w:rsidR="00B05891" w:rsidRPr="00B05891">
        <w:t xml:space="preserve"> a </w:t>
      </w:r>
      <w:r w:rsidR="00B05891">
        <w:t xml:space="preserve">nonprobability </w:t>
      </w:r>
      <w:r w:rsidR="008D619B">
        <w:t>sample with no known</w:t>
      </w:r>
      <w:r w:rsidR="00B05891" w:rsidRPr="00B05891">
        <w:t xml:space="preserve"> probabilities of selection. </w:t>
      </w:r>
      <w:r w:rsidR="003F021C">
        <w:rPr>
          <w:b/>
        </w:rPr>
        <w:t>Failure</w:t>
      </w:r>
      <w:r w:rsidR="003F021C" w:rsidRPr="00A3194F">
        <w:rPr>
          <w:b/>
        </w:rPr>
        <w:t xml:space="preserve"> </w:t>
      </w:r>
      <w:r w:rsidR="00B05891" w:rsidRPr="00A3194F">
        <w:rPr>
          <w:b/>
        </w:rPr>
        <w:t xml:space="preserve">to use </w:t>
      </w:r>
      <w:r w:rsidR="008D619B">
        <w:rPr>
          <w:b/>
        </w:rPr>
        <w:t>statistical</w:t>
      </w:r>
      <w:r w:rsidR="00B05891" w:rsidRPr="00A3194F">
        <w:rPr>
          <w:b/>
        </w:rPr>
        <w:t xml:space="preserve"> weights may </w:t>
      </w:r>
      <w:r w:rsidR="003F021C">
        <w:rPr>
          <w:b/>
        </w:rPr>
        <w:t>yield</w:t>
      </w:r>
      <w:r w:rsidR="003F021C" w:rsidRPr="00A3194F">
        <w:rPr>
          <w:b/>
        </w:rPr>
        <w:t xml:space="preserve"> </w:t>
      </w:r>
      <w:r w:rsidR="00B05891" w:rsidRPr="00A3194F">
        <w:rPr>
          <w:b/>
        </w:rPr>
        <w:t>biased estimates and overstate</w:t>
      </w:r>
      <w:r w:rsidR="003F021C">
        <w:rPr>
          <w:b/>
        </w:rPr>
        <w:t>d</w:t>
      </w:r>
      <w:r w:rsidR="00B05891" w:rsidRPr="00A3194F">
        <w:rPr>
          <w:b/>
        </w:rPr>
        <w:t xml:space="preserve"> significance levels.</w:t>
      </w:r>
    </w:p>
    <w:p w14:paraId="418FCF57" w14:textId="77777777" w:rsidR="00861FA8" w:rsidRDefault="00861FA8" w:rsidP="00A3194F">
      <w:pPr>
        <w:spacing w:after="240"/>
      </w:pPr>
      <w:r w:rsidRPr="008D6B0F">
        <w:t xml:space="preserve">Learning about the features of the weighting will help ensure that the results of analyses represent unbiased estimates with accurate statistical significance levels. </w:t>
      </w:r>
      <w:r>
        <w:t>See Appendix A Statistical Weights for more information.</w:t>
      </w:r>
    </w:p>
    <w:p w14:paraId="6089B561" w14:textId="05FDA071" w:rsidR="008D6B0F" w:rsidRDefault="008D6B0F" w:rsidP="00A3194F">
      <w:pPr>
        <w:spacing w:after="240"/>
      </w:pPr>
      <w:r w:rsidRPr="008D6B0F">
        <w:t xml:space="preserve">A </w:t>
      </w:r>
      <w:r w:rsidR="008D619B">
        <w:t>statistical</w:t>
      </w:r>
      <w:r w:rsidRPr="008D6B0F">
        <w:t xml:space="preserve"> weight is assigned to each </w:t>
      </w:r>
      <w:r w:rsidR="009A651D">
        <w:t xml:space="preserve">child </w:t>
      </w:r>
      <w:r w:rsidR="00112B39">
        <w:t xml:space="preserve">or teen </w:t>
      </w:r>
      <w:r w:rsidR="009A651D">
        <w:t>per year</w:t>
      </w:r>
      <w:r w:rsidRPr="008D6B0F">
        <w:t>.</w:t>
      </w:r>
      <w:r w:rsidR="008017F8">
        <w:t xml:space="preserve"> If prevalence reports are created across years and a child</w:t>
      </w:r>
      <w:r w:rsidR="00112B39">
        <w:t xml:space="preserve"> or teen</w:t>
      </w:r>
      <w:r w:rsidR="008017F8">
        <w:t xml:space="preserve"> has an estimate in more than one year, then a </w:t>
      </w:r>
      <w:r w:rsidR="008D619B">
        <w:t>statistical</w:t>
      </w:r>
      <w:r w:rsidR="008017F8">
        <w:t xml:space="preserve"> weight is created for the most recent year only</w:t>
      </w:r>
      <w:r w:rsidR="003F021C">
        <w:t>,</w:t>
      </w:r>
      <w:r w:rsidR="008017F8">
        <w:t xml:space="preserve"> and all other years are removed from the estimate. </w:t>
      </w:r>
      <w:r w:rsidR="008D619B">
        <w:t>Statistical</w:t>
      </w:r>
      <w:r w:rsidR="008017F8">
        <w:t xml:space="preserve"> weights </w:t>
      </w:r>
      <w:r w:rsidR="008D619B">
        <w:t xml:space="preserve">can be thought of as denoting </w:t>
      </w:r>
      <w:r w:rsidRPr="008D6B0F">
        <w:t xml:space="preserve">the number of </w:t>
      </w:r>
      <w:r w:rsidR="00504041">
        <w:t>children and teens</w:t>
      </w:r>
      <w:r w:rsidR="00504041" w:rsidRPr="008D6B0F">
        <w:t xml:space="preserve"> </w:t>
      </w:r>
      <w:r w:rsidRPr="008D6B0F">
        <w:t xml:space="preserve">in the population represented by that sample person in </w:t>
      </w:r>
      <w:r w:rsidR="009A651D">
        <w:t>EHR</w:t>
      </w:r>
      <w:r w:rsidRPr="008D6B0F">
        <w:t xml:space="preserve">, </w:t>
      </w:r>
      <w:r w:rsidR="008D619B">
        <w:t>accounting for differences between the distribution of the sample and total populations</w:t>
      </w:r>
      <w:r w:rsidRPr="008D6B0F">
        <w:t xml:space="preserve">. </w:t>
      </w:r>
    </w:p>
    <w:p w14:paraId="22A21673" w14:textId="0C73476D" w:rsidR="00FF0B6F" w:rsidRDefault="00BC2B2F" w:rsidP="009D3F3A">
      <w:pPr>
        <w:pStyle w:val="Heading2"/>
        <w:spacing w:before="0" w:after="0"/>
      </w:pPr>
      <w:bookmarkStart w:id="44" w:name="_Toc46395244"/>
      <w:r>
        <w:t>Frequency</w:t>
      </w:r>
      <w:r w:rsidR="00F35058">
        <w:t xml:space="preserve"> </w:t>
      </w:r>
      <w:r w:rsidR="00702A5B">
        <w:t>with</w:t>
      </w:r>
      <w:r w:rsidR="00F35058">
        <w:t xml:space="preserve"> Which Processes Can and Should </w:t>
      </w:r>
      <w:r w:rsidR="00276FBE">
        <w:t>B</w:t>
      </w:r>
      <w:r w:rsidR="00F35058">
        <w:t>e Run</w:t>
      </w:r>
      <w:bookmarkEnd w:id="44"/>
    </w:p>
    <w:p w14:paraId="2D7E5671" w14:textId="72F37877" w:rsidR="00B73CCD" w:rsidRDefault="00B73CCD" w:rsidP="00A3194F">
      <w:pPr>
        <w:spacing w:after="240"/>
      </w:pPr>
      <w:r>
        <w:t>The CODI-PQ may be processed multiple times on the same data file with different inclusion criteria (e.g.</w:t>
      </w:r>
      <w:r w:rsidR="00E7182F">
        <w:t>,</w:t>
      </w:r>
      <w:r>
        <w:t xml:space="preserve"> age, sex). </w:t>
      </w:r>
      <w:r w:rsidR="00F35058">
        <w:t>The</w:t>
      </w:r>
      <w:r>
        <w:t xml:space="preserve"> </w:t>
      </w:r>
      <w:r w:rsidR="00F35058">
        <w:t>pre-processing</w:t>
      </w:r>
      <w:r>
        <w:t xml:space="preserve"> algorithms should be processed </w:t>
      </w:r>
      <w:r w:rsidR="003F021C">
        <w:t xml:space="preserve">only </w:t>
      </w:r>
      <w:r>
        <w:t xml:space="preserve">once </w:t>
      </w:r>
      <w:r w:rsidR="005C466D">
        <w:t xml:space="preserve">per set of EHR records </w:t>
      </w:r>
      <w:r>
        <w:t xml:space="preserve">prior to creating one or more </w:t>
      </w:r>
      <w:r w:rsidR="005C466D">
        <w:t>CODI-PQ prevalence table</w:t>
      </w:r>
      <w:r w:rsidR="00E7182F">
        <w:t>s</w:t>
      </w:r>
      <w:r w:rsidR="005C466D">
        <w:t>. If EHR records for the same year are available at a later time</w:t>
      </w:r>
      <w:r w:rsidR="0061443C">
        <w:t xml:space="preserve"> and appended to a previously created EHR file</w:t>
      </w:r>
      <w:r w:rsidR="005C466D">
        <w:t xml:space="preserve">, the growthcleanr and </w:t>
      </w:r>
      <w:r w:rsidR="00F35058">
        <w:t>pre-processing</w:t>
      </w:r>
      <w:r w:rsidR="005C466D">
        <w:t xml:space="preserve"> algorithms will need to be </w:t>
      </w:r>
      <w:r w:rsidR="00F35058">
        <w:t>completed</w:t>
      </w:r>
      <w:r w:rsidR="005C466D">
        <w:t xml:space="preserve"> again</w:t>
      </w:r>
      <w:r w:rsidR="0061443C">
        <w:t xml:space="preserve"> to ensure the correct health encounter is retained</w:t>
      </w:r>
      <w:r w:rsidR="005C466D">
        <w:t>.</w:t>
      </w:r>
      <w:r w:rsidR="0061443C">
        <w:t xml:space="preserve"> The race of children and teens with unknown race may be changed each time the </w:t>
      </w:r>
      <w:r w:rsidR="00F35058">
        <w:t>pre-processing algorithm</w:t>
      </w:r>
      <w:r w:rsidR="0061443C">
        <w:t xml:space="preserve"> is processed.</w:t>
      </w:r>
    </w:p>
    <w:p w14:paraId="0391E1DB" w14:textId="0C533B6E" w:rsidR="00677EED" w:rsidRDefault="00677EED" w:rsidP="00A3194F">
      <w:pPr>
        <w:spacing w:after="240"/>
      </w:pPr>
      <w:r>
        <w:t xml:space="preserve">The CODI-PQ was published in the summer of 2020. </w:t>
      </w:r>
      <w:r w:rsidR="00B73CCD">
        <w:t>S</w:t>
      </w:r>
      <w:r>
        <w:t xml:space="preserve">tatistical programs require </w:t>
      </w:r>
      <w:r w:rsidR="00B73CCD">
        <w:t xml:space="preserve">review and </w:t>
      </w:r>
      <w:r>
        <w:t>updates over time</w:t>
      </w:r>
      <w:r w:rsidR="002D7AAA">
        <w:t>.</w:t>
      </w:r>
      <w:r>
        <w:t xml:space="preserve"> We recommend </w:t>
      </w:r>
      <w:r w:rsidR="00B73CCD">
        <w:t xml:space="preserve">statistical review of the </w:t>
      </w:r>
      <w:r>
        <w:t xml:space="preserve">programs </w:t>
      </w:r>
      <w:r w:rsidR="005876F0">
        <w:t xml:space="preserve">each year. In addition, we strongly recommend updating the race imputation model </w:t>
      </w:r>
      <w:r>
        <w:t xml:space="preserve">after the </w:t>
      </w:r>
      <w:r w:rsidR="005876F0">
        <w:t xml:space="preserve">release of </w:t>
      </w:r>
      <w:r>
        <w:t>2020 Census data.</w:t>
      </w:r>
      <w:r w:rsidR="000D13FC">
        <w:t xml:space="preserve"> </w:t>
      </w:r>
    </w:p>
    <w:p w14:paraId="1BC86746" w14:textId="77777777" w:rsidR="00083078" w:rsidRDefault="00670BB7" w:rsidP="009D3F3A">
      <w:pPr>
        <w:pStyle w:val="Heading1"/>
        <w:spacing w:after="0"/>
      </w:pPr>
      <w:bookmarkStart w:id="45" w:name="_Toc46395245"/>
      <w:r>
        <w:lastRenderedPageBreak/>
        <w:t>Algorithm Use</w:t>
      </w:r>
      <w:bookmarkEnd w:id="45"/>
    </w:p>
    <w:p w14:paraId="722E98E8" w14:textId="77777777" w:rsidR="00873441" w:rsidRDefault="00873441" w:rsidP="00873441">
      <w:pPr>
        <w:spacing w:after="240"/>
      </w:pPr>
      <w:r>
        <w:t xml:space="preserve">This section describes the user inputs and provides guidance on interpreting the CODI-PQ output. Once geographic and demographic criteria are selected, optional algorithms are chosen, and file paths are defined, the CODI-PQ subsets the data file based on the inclusion criteria, generates statistical weights, calculates prevalence estimates, and suppresses estimates as needed before generating the report. </w:t>
      </w:r>
    </w:p>
    <w:p w14:paraId="049EB28F" w14:textId="77777777" w:rsidR="00C13F41" w:rsidRDefault="00C13F41" w:rsidP="009D3F3A">
      <w:pPr>
        <w:pStyle w:val="Heading2"/>
        <w:spacing w:before="0" w:after="0"/>
      </w:pPr>
      <w:bookmarkStart w:id="46" w:name="_Toc46395246"/>
      <w:r>
        <w:t>User Inputs</w:t>
      </w:r>
      <w:bookmarkEnd w:id="46"/>
    </w:p>
    <w:p w14:paraId="1D8727A0" w14:textId="21B143F6" w:rsidR="00873441" w:rsidRDefault="002F1B37" w:rsidP="00873441">
      <w:pPr>
        <w:spacing w:after="240"/>
      </w:pPr>
      <w:r>
        <w:t>The</w:t>
      </w:r>
      <w:r w:rsidR="004F0688">
        <w:t xml:space="preserve"> CODI-PQ</w:t>
      </w:r>
      <w:r>
        <w:t xml:space="preserve"> algorithm requires user inputs to </w:t>
      </w:r>
      <w:r w:rsidR="00490218">
        <w:t>identify</w:t>
      </w:r>
      <w:r>
        <w:t xml:space="preserve"> the year</w:t>
      </w:r>
      <w:r w:rsidR="00490218">
        <w:t>(s)</w:t>
      </w:r>
      <w:r>
        <w:t>, geographic area</w:t>
      </w:r>
      <w:r w:rsidR="00490218">
        <w:t>(s)</w:t>
      </w:r>
      <w:r>
        <w:t>, age</w:t>
      </w:r>
      <w:r w:rsidR="00CC123B">
        <w:t xml:space="preserve"> group</w:t>
      </w:r>
      <w:r w:rsidR="00490218">
        <w:t>(</w:t>
      </w:r>
      <w:r w:rsidR="00702A5B">
        <w:t>s</w:t>
      </w:r>
      <w:r w:rsidR="00490218">
        <w:t>)</w:t>
      </w:r>
      <w:r>
        <w:t>, sex, and race</w:t>
      </w:r>
      <w:r w:rsidR="00490218">
        <w:t xml:space="preserve"> value(s) to be included in the analyses</w:t>
      </w:r>
      <w:r>
        <w:t xml:space="preserve">. </w:t>
      </w:r>
      <w:r w:rsidR="00873441">
        <w:t>The user may also select two optional inclusions to the algorithm: race imputation and age adjusting. More details on these options are listed below. The user must also define the computer folder where data and programs are stored.</w:t>
      </w:r>
    </w:p>
    <w:p w14:paraId="6507E51D" w14:textId="77777777" w:rsidR="00702A5B" w:rsidRDefault="00702A5B" w:rsidP="00A3194F">
      <w:pPr>
        <w:pStyle w:val="BulletListMultiple"/>
      </w:pPr>
      <w:r w:rsidRPr="00A3194F">
        <w:rPr>
          <w:b/>
          <w:bCs/>
        </w:rPr>
        <w:t>Year</w:t>
      </w:r>
      <w:r>
        <w:t xml:space="preserve">: </w:t>
      </w:r>
      <w:r w:rsidR="00861FA8">
        <w:t xml:space="preserve">The user may select one or more years for inclusion in the estimates. </w:t>
      </w:r>
      <w:r w:rsidR="003F302C">
        <w:t xml:space="preserve">Selection of multiple years pools the records across years to create one estimate of prevalence, not one estimate per year. </w:t>
      </w:r>
    </w:p>
    <w:p w14:paraId="7AED6804" w14:textId="01615935" w:rsidR="00702A5B" w:rsidRDefault="00702A5B" w:rsidP="00A3194F">
      <w:pPr>
        <w:pStyle w:val="BulletListMultiple"/>
      </w:pPr>
      <w:r w:rsidRPr="00A3194F">
        <w:rPr>
          <w:b/>
          <w:bCs/>
        </w:rPr>
        <w:t>Geographic area</w:t>
      </w:r>
      <w:r>
        <w:t xml:space="preserve">: </w:t>
      </w:r>
      <w:r w:rsidR="00CC123B">
        <w:t xml:space="preserve">For CODI, geographic area is defined based on the state and county. For IQVIA, geographic area is defined by either the state or the state and </w:t>
      </w:r>
      <w:r w:rsidR="00154ACC">
        <w:t>ZCTA-3</w:t>
      </w:r>
      <w:r w:rsidR="00CC123B">
        <w:t xml:space="preserve">. </w:t>
      </w:r>
    </w:p>
    <w:p w14:paraId="00BC6388" w14:textId="0EA7EFFE" w:rsidR="00702A5B" w:rsidRDefault="00702A5B" w:rsidP="00A3194F">
      <w:pPr>
        <w:pStyle w:val="BulletListMultiple"/>
      </w:pPr>
      <w:r w:rsidRPr="00A3194F">
        <w:rPr>
          <w:b/>
          <w:bCs/>
        </w:rPr>
        <w:t>Age group</w:t>
      </w:r>
      <w:r>
        <w:rPr>
          <w:b/>
          <w:bCs/>
        </w:rPr>
        <w:t>s</w:t>
      </w:r>
      <w:r>
        <w:t xml:space="preserve">: </w:t>
      </w:r>
      <w:r w:rsidR="00CC123B">
        <w:t>In both CODI and IQVIA, age group</w:t>
      </w:r>
      <w:r w:rsidR="00E7182F">
        <w:t>s</w:t>
      </w:r>
      <w:r w:rsidR="00CC123B">
        <w:t xml:space="preserve"> include age</w:t>
      </w:r>
      <w:r w:rsidR="003F021C">
        <w:t>s</w:t>
      </w:r>
      <w:r w:rsidR="00CC123B">
        <w:t xml:space="preserve"> 2 to 4, 5 to 9, 10 to 14, 15 and 17, and 18 to 19 years of age. </w:t>
      </w:r>
    </w:p>
    <w:p w14:paraId="56431878" w14:textId="77777777" w:rsidR="00702A5B" w:rsidRDefault="00702A5B" w:rsidP="00A3194F">
      <w:pPr>
        <w:pStyle w:val="BulletListMultiple"/>
      </w:pPr>
      <w:r w:rsidRPr="00A3194F">
        <w:rPr>
          <w:b/>
          <w:bCs/>
        </w:rPr>
        <w:t>Sex</w:t>
      </w:r>
      <w:r>
        <w:t xml:space="preserve">: </w:t>
      </w:r>
      <w:r w:rsidR="00CC123B">
        <w:t xml:space="preserve">Sex is defined as male or female. At the time of publication, there is not a way to calculate weight category for non-binary children or teens. For this reason, children with non-binary or missing sex information are excluded from analysis. </w:t>
      </w:r>
    </w:p>
    <w:p w14:paraId="3612446A" w14:textId="4F58BAE2" w:rsidR="00873441" w:rsidRDefault="00702A5B" w:rsidP="00A3194F">
      <w:pPr>
        <w:pStyle w:val="BulletListMultiple"/>
      </w:pPr>
      <w:r w:rsidRPr="00A3194F">
        <w:rPr>
          <w:b/>
          <w:bCs/>
        </w:rPr>
        <w:t>Race</w:t>
      </w:r>
      <w:r>
        <w:t xml:space="preserve">: </w:t>
      </w:r>
      <w:r w:rsidR="00CC123B">
        <w:t>In both CODI and IQVIA</w:t>
      </w:r>
      <w:r w:rsidR="00E7182F">
        <w:t>,</w:t>
      </w:r>
      <w:r w:rsidR="00CC123B">
        <w:t xml:space="preserve"> race is defined as White, Black/African American, Asian, or Other.</w:t>
      </w:r>
    </w:p>
    <w:p w14:paraId="65BB8F77" w14:textId="19F2EEA3" w:rsidR="00873441" w:rsidRDefault="00873441" w:rsidP="00873441">
      <w:pPr>
        <w:pStyle w:val="BulletListMultiple"/>
      </w:pPr>
      <w:r>
        <w:rPr>
          <w:b/>
          <w:bCs/>
        </w:rPr>
        <w:t xml:space="preserve">Race imputation: </w:t>
      </w:r>
      <w:r w:rsidR="00CC123B">
        <w:t xml:space="preserve">Setting race imputation to yes allows the algorithms to include all available EHR data for children and teens even if the medical record did not include a known race. The </w:t>
      </w:r>
      <w:r w:rsidR="009B4CD7">
        <w:t xml:space="preserve">availability of </w:t>
      </w:r>
      <w:r w:rsidR="00CC123B">
        <w:t xml:space="preserve">race information </w:t>
      </w:r>
      <w:r w:rsidR="009B4CD7">
        <w:t xml:space="preserve">for children and teens </w:t>
      </w:r>
      <w:r w:rsidR="00CC123B">
        <w:t xml:space="preserve">varies by geography and data provider. </w:t>
      </w:r>
      <w:r w:rsidR="009B4CD7">
        <w:t xml:space="preserve">When creating estimates </w:t>
      </w:r>
      <w:r w:rsidR="00D22BA8">
        <w:t>by</w:t>
      </w:r>
      <w:r w:rsidR="009B4CD7">
        <w:t xml:space="preserve"> race, it is recommended to exclude imputed race. </w:t>
      </w:r>
    </w:p>
    <w:p w14:paraId="677BC489" w14:textId="77777777" w:rsidR="00873441" w:rsidRDefault="00873441" w:rsidP="00873441">
      <w:pPr>
        <w:pStyle w:val="BulletListMultiple"/>
        <w:numPr>
          <w:ilvl w:val="1"/>
          <w:numId w:val="2"/>
        </w:numPr>
      </w:pPr>
      <w:r w:rsidRPr="00A3194F">
        <w:rPr>
          <w:i/>
          <w:iCs/>
        </w:rPr>
        <w:t>Cautions</w:t>
      </w:r>
      <w:r w:rsidRPr="001C5159">
        <w:rPr>
          <w:i/>
          <w:iCs/>
        </w:rPr>
        <w:t>:</w:t>
      </w:r>
    </w:p>
    <w:p w14:paraId="122FA2B9" w14:textId="17B9ABE7" w:rsidR="00873441" w:rsidRDefault="00873441">
      <w:pPr>
        <w:pStyle w:val="BulletListMultiple"/>
        <w:numPr>
          <w:ilvl w:val="2"/>
          <w:numId w:val="2"/>
        </w:numPr>
      </w:pPr>
      <w:r>
        <w:t xml:space="preserve">Race is used to weight all children and teens, which means the weighted estimates are subject to increased potential for bias as the percentage of imputed race increases. </w:t>
      </w:r>
      <w:r w:rsidR="009B4CD7">
        <w:t xml:space="preserve">Excluding imputed race decreases the sample size, increases the variance, and may reduce bias. </w:t>
      </w:r>
      <w:r>
        <w:t>Conversely, i</w:t>
      </w:r>
      <w:r w:rsidR="009B4CD7">
        <w:t xml:space="preserve">ncluding imputed race increases the sample size, reduces the variance, and may increase bias. </w:t>
      </w:r>
    </w:p>
    <w:p w14:paraId="48825CB6" w14:textId="5BAE9D6B" w:rsidR="00CC123B" w:rsidRDefault="009B4CD7" w:rsidP="00873441">
      <w:pPr>
        <w:pStyle w:val="BulletListMultiple"/>
        <w:numPr>
          <w:ilvl w:val="2"/>
          <w:numId w:val="2"/>
        </w:numPr>
      </w:pPr>
      <w:r>
        <w:t>If race imputation is selected, t</w:t>
      </w:r>
      <w:r w:rsidR="00CC123B">
        <w:t xml:space="preserve">he prevalence output table </w:t>
      </w:r>
      <w:r>
        <w:t>provides</w:t>
      </w:r>
      <w:r w:rsidR="00CC123B">
        <w:t xml:space="preserve"> the percentage of the children and teens with imputed race. </w:t>
      </w:r>
      <w:r>
        <w:t xml:space="preserve">Applying statistical weights </w:t>
      </w:r>
      <w:r w:rsidR="00E5739D">
        <w:t>for</w:t>
      </w:r>
      <w:r>
        <w:t xml:space="preserve"> all estimates is highly recommended</w:t>
      </w:r>
      <w:r w:rsidR="00873441">
        <w:t>; however, users should employ caution</w:t>
      </w:r>
      <w:r w:rsidR="004F0688">
        <w:t xml:space="preserve">. Although there is not a fixed cutoff point and researcher review is strongly </w:t>
      </w:r>
      <w:r w:rsidR="004F0688">
        <w:lastRenderedPageBreak/>
        <w:t>recommended, r</w:t>
      </w:r>
      <w:r>
        <w:t xml:space="preserve">eporting estimates with 40% or more </w:t>
      </w:r>
      <w:r w:rsidR="004F0688">
        <w:t>children and teens</w:t>
      </w:r>
      <w:r>
        <w:t xml:space="preserve"> with imputed race is not recommended.</w:t>
      </w:r>
      <w:r w:rsidR="004F0688">
        <w:t xml:space="preserve"> </w:t>
      </w:r>
    </w:p>
    <w:p w14:paraId="3EBBDB22" w14:textId="48A8B614" w:rsidR="009B4CD7" w:rsidRDefault="00873441" w:rsidP="00A3194F">
      <w:pPr>
        <w:pStyle w:val="BulletListMultiple"/>
        <w:spacing w:after="240"/>
      </w:pPr>
      <w:r w:rsidRPr="00050CB1">
        <w:rPr>
          <w:b/>
          <w:bCs/>
        </w:rPr>
        <w:t xml:space="preserve">Age adjusting: </w:t>
      </w:r>
      <w:r w:rsidR="009B4CD7">
        <w:t>Setting age adjusting to yes allows the algorithm to include two additional variables in the output: age</w:t>
      </w:r>
      <w:r w:rsidR="008B5D48">
        <w:t>-</w:t>
      </w:r>
      <w:r w:rsidR="009B4CD7">
        <w:t>adjusted prevalence and age</w:t>
      </w:r>
      <w:r w:rsidR="008B5D48">
        <w:t>-</w:t>
      </w:r>
      <w:r w:rsidR="009B4CD7">
        <w:t>adjusted standard error. Researchers age-adjust</w:t>
      </w:r>
      <w:r w:rsidR="009B4CD7" w:rsidRPr="009B4CD7">
        <w:t xml:space="preserve"> to eliminate differences in observed estimates that result from differences in the age distribution of the population among geographies. </w:t>
      </w:r>
      <w:r w:rsidR="009B4CD7">
        <w:t xml:space="preserve">See Appendix A. Age Adjusting for more information. </w:t>
      </w:r>
    </w:p>
    <w:p w14:paraId="661924C5" w14:textId="77777777" w:rsidR="00C13F41" w:rsidRDefault="00C13F41" w:rsidP="009D3F3A">
      <w:pPr>
        <w:pStyle w:val="Heading2"/>
        <w:spacing w:before="0" w:after="0"/>
      </w:pPr>
      <w:bookmarkStart w:id="47" w:name="_Toc46395247"/>
      <w:r>
        <w:t>Understanding the Output</w:t>
      </w:r>
      <w:bookmarkEnd w:id="47"/>
    </w:p>
    <w:p w14:paraId="60127517" w14:textId="695F4279" w:rsidR="00DD068A" w:rsidRDefault="00C628D6" w:rsidP="00FA5E55">
      <w:pPr>
        <w:spacing w:after="240"/>
      </w:pPr>
      <w:r>
        <w:t xml:space="preserve">Once </w:t>
      </w:r>
      <w:r w:rsidR="009B4CD7">
        <w:t xml:space="preserve">complete, </w:t>
      </w:r>
      <w:r w:rsidR="00DD068A">
        <w:t>CODI-PQ</w:t>
      </w:r>
      <w:r w:rsidR="009B4CD7">
        <w:t xml:space="preserve"> generates</w:t>
      </w:r>
      <w:r>
        <w:t xml:space="preserve"> a prevalence table as a csv</w:t>
      </w:r>
      <w:r w:rsidR="00C73E86">
        <w:t xml:space="preserve"> file</w:t>
      </w:r>
      <w:r>
        <w:t xml:space="preserve">. </w:t>
      </w:r>
      <w:r w:rsidR="0060691F">
        <w:t xml:space="preserve">Table </w:t>
      </w:r>
      <w:r w:rsidR="00FA5E55">
        <w:t>1</w:t>
      </w:r>
      <w:r w:rsidR="0060691F">
        <w:t xml:space="preserve"> provides an overview of the </w:t>
      </w:r>
      <w:r w:rsidR="00C73E86">
        <w:t>variables included</w:t>
      </w:r>
      <w:r w:rsidR="008B5D48">
        <w:t>,</w:t>
      </w:r>
      <w:r w:rsidR="0060691F">
        <w:t xml:space="preserve"> and Table </w:t>
      </w:r>
      <w:r w:rsidR="000E4903">
        <w:t>2</w:t>
      </w:r>
      <w:r w:rsidR="0060691F">
        <w:t xml:space="preserve"> </w:t>
      </w:r>
      <w:r w:rsidR="009B4CD7">
        <w:t>provides</w:t>
      </w:r>
      <w:r w:rsidR="0060691F">
        <w:t xml:space="preserve"> example output based on synthetic data.</w:t>
      </w:r>
      <w:r w:rsidR="000E4903">
        <w:t xml:space="preserve"> Note in the sample provided in Table 2, descriptive information about the CODI-PQ user inputs, error codes, sources of technical documentation, caveats, and a recommendation citation begins with the row labeled order 3 and continues through order 19. </w:t>
      </w:r>
      <w:r w:rsidR="00D22BA8">
        <w:t>The number of rows output will vary based on the criteria selected.</w:t>
      </w:r>
    </w:p>
    <w:p w14:paraId="692CE852" w14:textId="59149C6A" w:rsidR="00FA5E55" w:rsidRDefault="00FA5E55" w:rsidP="00A3194F">
      <w:pPr>
        <w:pStyle w:val="Caption"/>
        <w:keepNext/>
      </w:pPr>
      <w:bookmarkStart w:id="48" w:name="_Toc46395266"/>
      <w:r>
        <w:t xml:space="preserve">Table </w:t>
      </w:r>
      <w:r w:rsidR="00977B42">
        <w:rPr>
          <w:noProof/>
        </w:rPr>
        <w:fldChar w:fldCharType="begin"/>
      </w:r>
      <w:r w:rsidR="00977B42">
        <w:rPr>
          <w:noProof/>
        </w:rPr>
        <w:instrText xml:space="preserve"> SEQ Table \* ARABIC </w:instrText>
      </w:r>
      <w:r w:rsidR="00977B42">
        <w:rPr>
          <w:noProof/>
        </w:rPr>
        <w:fldChar w:fldCharType="separate"/>
      </w:r>
      <w:r w:rsidR="009A1B7A">
        <w:rPr>
          <w:noProof/>
        </w:rPr>
        <w:t>1</w:t>
      </w:r>
      <w:r w:rsidR="00977B42">
        <w:rPr>
          <w:noProof/>
        </w:rPr>
        <w:fldChar w:fldCharType="end"/>
      </w:r>
      <w:r>
        <w:t>. CODI-PQ Output Data Dictionary</w:t>
      </w:r>
      <w:bookmarkEnd w:id="48"/>
    </w:p>
    <w:tbl>
      <w:tblPr>
        <w:tblStyle w:val="GridTable1Light-Accent1"/>
        <w:tblW w:w="5000" w:type="pct"/>
        <w:tblLook w:val="0020" w:firstRow="1" w:lastRow="0" w:firstColumn="0" w:lastColumn="0" w:noHBand="0" w:noVBand="0"/>
        <w:tblCaption w:val="CODI-PQ Output Data Dictionary"/>
        <w:tblDescription w:val="A table with 2 columns that read from left to right: Column, Description."/>
      </w:tblPr>
      <w:tblGrid>
        <w:gridCol w:w="4509"/>
        <w:gridCol w:w="4841"/>
      </w:tblGrid>
      <w:tr w:rsidR="00173684" w:rsidRPr="00173684" w14:paraId="0CEF4688" w14:textId="77777777" w:rsidTr="00A3194F">
        <w:trPr>
          <w:cnfStyle w:val="100000000000" w:firstRow="1" w:lastRow="0" w:firstColumn="0" w:lastColumn="0" w:oddVBand="0" w:evenVBand="0" w:oddHBand="0" w:evenHBand="0" w:firstRowFirstColumn="0" w:firstRowLastColumn="0" w:lastRowFirstColumn="0" w:lastRowLastColumn="0"/>
          <w:trHeight w:val="290"/>
        </w:trPr>
        <w:tc>
          <w:tcPr>
            <w:tcW w:w="0" w:type="pct"/>
          </w:tcPr>
          <w:p w14:paraId="7AD98913" w14:textId="77777777" w:rsidR="0033062B" w:rsidRPr="00A3194F" w:rsidRDefault="0033062B" w:rsidP="00A3194F">
            <w:pPr>
              <w:pStyle w:val="TableColumnHeading"/>
              <w:jc w:val="left"/>
              <w:rPr>
                <w:bCs w:val="0"/>
              </w:rPr>
            </w:pPr>
            <w:r w:rsidRPr="00A3194F">
              <w:rPr>
                <w:b/>
              </w:rPr>
              <w:t>Column</w:t>
            </w:r>
          </w:p>
        </w:tc>
        <w:tc>
          <w:tcPr>
            <w:tcW w:w="0" w:type="pct"/>
          </w:tcPr>
          <w:p w14:paraId="066C89CE" w14:textId="77777777" w:rsidR="0033062B" w:rsidRPr="00A3194F" w:rsidRDefault="0033062B" w:rsidP="00A3194F">
            <w:pPr>
              <w:pStyle w:val="TableColumnHeading"/>
              <w:jc w:val="left"/>
              <w:rPr>
                <w:bCs w:val="0"/>
              </w:rPr>
            </w:pPr>
            <w:r w:rsidRPr="00A3194F">
              <w:rPr>
                <w:b/>
              </w:rPr>
              <w:t>Description</w:t>
            </w:r>
          </w:p>
        </w:tc>
      </w:tr>
      <w:tr w:rsidR="00173684" w:rsidRPr="00173684" w14:paraId="673A42BE" w14:textId="77777777" w:rsidTr="00A3194F">
        <w:trPr>
          <w:trHeight w:val="290"/>
        </w:trPr>
        <w:tc>
          <w:tcPr>
            <w:tcW w:w="0" w:type="pct"/>
          </w:tcPr>
          <w:p w14:paraId="527186B4" w14:textId="77777777" w:rsidR="0033062B" w:rsidRPr="00A3194F" w:rsidRDefault="0033062B" w:rsidP="00A3194F">
            <w:pPr>
              <w:pStyle w:val="TableText"/>
            </w:pPr>
            <w:r w:rsidRPr="00A3194F">
              <w:t>Order</w:t>
            </w:r>
          </w:p>
        </w:tc>
        <w:tc>
          <w:tcPr>
            <w:tcW w:w="0" w:type="pct"/>
          </w:tcPr>
          <w:p w14:paraId="6849832D" w14:textId="77777777" w:rsidR="0033062B" w:rsidRPr="00A3194F" w:rsidRDefault="00173684" w:rsidP="00A3194F">
            <w:pPr>
              <w:pStyle w:val="TableText"/>
            </w:pPr>
            <w:r>
              <w:t>Row order</w:t>
            </w:r>
          </w:p>
        </w:tc>
      </w:tr>
      <w:tr w:rsidR="00173684" w:rsidRPr="00173684" w14:paraId="508B6C76" w14:textId="77777777" w:rsidTr="00A3194F">
        <w:trPr>
          <w:trHeight w:val="290"/>
        </w:trPr>
        <w:tc>
          <w:tcPr>
            <w:tcW w:w="0" w:type="pct"/>
          </w:tcPr>
          <w:p w14:paraId="411F545B" w14:textId="77777777" w:rsidR="0033062B" w:rsidRPr="00A3194F" w:rsidRDefault="0033062B" w:rsidP="00A3194F">
            <w:pPr>
              <w:pStyle w:val="TableText"/>
            </w:pPr>
            <w:r w:rsidRPr="00A3194F">
              <w:t>Weight Category</w:t>
            </w:r>
          </w:p>
        </w:tc>
        <w:tc>
          <w:tcPr>
            <w:tcW w:w="0" w:type="pct"/>
          </w:tcPr>
          <w:p w14:paraId="69F3FF06" w14:textId="77777777" w:rsidR="0033062B" w:rsidRPr="00A3194F" w:rsidRDefault="00173684" w:rsidP="00A3194F">
            <w:pPr>
              <w:pStyle w:val="TableText"/>
            </w:pPr>
            <w:r>
              <w:t>The weight category based on BMI percentile.</w:t>
            </w:r>
          </w:p>
        </w:tc>
      </w:tr>
      <w:tr w:rsidR="00173684" w:rsidRPr="00173684" w14:paraId="46F08C3F" w14:textId="77777777" w:rsidTr="00A3194F">
        <w:trPr>
          <w:trHeight w:val="290"/>
        </w:trPr>
        <w:tc>
          <w:tcPr>
            <w:tcW w:w="0" w:type="pct"/>
          </w:tcPr>
          <w:p w14:paraId="0FCCB832" w14:textId="77777777" w:rsidR="0033062B" w:rsidRPr="00A3194F" w:rsidRDefault="0033062B" w:rsidP="00A3194F">
            <w:pPr>
              <w:pStyle w:val="TableText"/>
            </w:pPr>
            <w:r w:rsidRPr="00A3194F">
              <w:t>Sample</w:t>
            </w:r>
          </w:p>
        </w:tc>
        <w:tc>
          <w:tcPr>
            <w:tcW w:w="0" w:type="pct"/>
          </w:tcPr>
          <w:p w14:paraId="3BC31B06" w14:textId="77777777" w:rsidR="0033062B" w:rsidRPr="00A3194F" w:rsidRDefault="00173684" w:rsidP="00A3194F">
            <w:pPr>
              <w:pStyle w:val="TableText"/>
            </w:pPr>
            <w:r>
              <w:t xml:space="preserve">The observed (or unadjusted, or crude) count of </w:t>
            </w:r>
            <w:r w:rsidR="00504041">
              <w:t>children and teens</w:t>
            </w:r>
            <w:r>
              <w:t xml:space="preserve"> in the study population.</w:t>
            </w:r>
          </w:p>
        </w:tc>
      </w:tr>
      <w:tr w:rsidR="00173684" w:rsidRPr="00173684" w14:paraId="4BB35732" w14:textId="77777777" w:rsidTr="00A3194F">
        <w:trPr>
          <w:trHeight w:val="290"/>
        </w:trPr>
        <w:tc>
          <w:tcPr>
            <w:tcW w:w="0" w:type="pct"/>
          </w:tcPr>
          <w:p w14:paraId="15412947" w14:textId="77777777" w:rsidR="0033062B" w:rsidRPr="00A3194F" w:rsidRDefault="0033062B" w:rsidP="00A3194F">
            <w:pPr>
              <w:pStyle w:val="TableText"/>
            </w:pPr>
            <w:r w:rsidRPr="00A3194F">
              <w:t>Population</w:t>
            </w:r>
          </w:p>
        </w:tc>
        <w:tc>
          <w:tcPr>
            <w:tcW w:w="0" w:type="pct"/>
          </w:tcPr>
          <w:p w14:paraId="7FD93AD7" w14:textId="77777777" w:rsidR="0033062B" w:rsidRPr="00A3194F" w:rsidRDefault="00173684" w:rsidP="00A3194F">
            <w:pPr>
              <w:pStyle w:val="TableText"/>
            </w:pPr>
            <w:r w:rsidRPr="00173684">
              <w:t xml:space="preserve">The weighted (or adjusted) count of the study population. </w:t>
            </w:r>
          </w:p>
        </w:tc>
      </w:tr>
      <w:tr w:rsidR="00173684" w:rsidRPr="00173684" w14:paraId="7B64B3E8" w14:textId="77777777" w:rsidTr="00A3194F">
        <w:trPr>
          <w:trHeight w:val="290"/>
        </w:trPr>
        <w:tc>
          <w:tcPr>
            <w:tcW w:w="0" w:type="pct"/>
          </w:tcPr>
          <w:p w14:paraId="3A24F434" w14:textId="77777777" w:rsidR="0033062B" w:rsidRPr="00A3194F" w:rsidRDefault="0033062B" w:rsidP="00A3194F">
            <w:pPr>
              <w:pStyle w:val="TableText"/>
            </w:pPr>
            <w:r w:rsidRPr="00A3194F">
              <w:t>Crude Prevalence</w:t>
            </w:r>
          </w:p>
        </w:tc>
        <w:tc>
          <w:tcPr>
            <w:tcW w:w="0" w:type="pct"/>
          </w:tcPr>
          <w:p w14:paraId="36B93CF8" w14:textId="77777777" w:rsidR="0033062B" w:rsidRPr="00A3194F" w:rsidRDefault="00173684" w:rsidP="00A3194F">
            <w:pPr>
              <w:pStyle w:val="TableText"/>
            </w:pPr>
            <w:r w:rsidRPr="00173684">
              <w:t>The observed (or unadjusted, or crude) prevalence in the study population.</w:t>
            </w:r>
          </w:p>
        </w:tc>
      </w:tr>
      <w:tr w:rsidR="00173684" w:rsidRPr="00173684" w14:paraId="4617D76F" w14:textId="77777777" w:rsidTr="00A3194F">
        <w:trPr>
          <w:trHeight w:val="290"/>
        </w:trPr>
        <w:tc>
          <w:tcPr>
            <w:tcW w:w="0" w:type="pct"/>
          </w:tcPr>
          <w:p w14:paraId="6156C5DD" w14:textId="77777777" w:rsidR="0033062B" w:rsidRPr="00A3194F" w:rsidRDefault="0033062B" w:rsidP="00A3194F">
            <w:pPr>
              <w:pStyle w:val="TableText"/>
            </w:pPr>
            <w:r w:rsidRPr="00A3194F">
              <w:t>Crude Prevalence Standard Error</w:t>
            </w:r>
          </w:p>
        </w:tc>
        <w:tc>
          <w:tcPr>
            <w:tcW w:w="0" w:type="pct"/>
          </w:tcPr>
          <w:p w14:paraId="58F18F6B" w14:textId="77777777" w:rsidR="0033062B" w:rsidRPr="00A3194F" w:rsidRDefault="00173684" w:rsidP="00A3194F">
            <w:pPr>
              <w:pStyle w:val="TableText"/>
            </w:pPr>
            <w:r w:rsidRPr="00050CB1">
              <w:t>The observed (or unadjusted, or crude) standard error in the study population.</w:t>
            </w:r>
          </w:p>
        </w:tc>
      </w:tr>
      <w:tr w:rsidR="00173684" w:rsidRPr="00173684" w14:paraId="2AF95BC6" w14:textId="77777777" w:rsidTr="00A3194F">
        <w:trPr>
          <w:trHeight w:val="290"/>
        </w:trPr>
        <w:tc>
          <w:tcPr>
            <w:tcW w:w="0" w:type="pct"/>
          </w:tcPr>
          <w:p w14:paraId="1BB095D1" w14:textId="77777777" w:rsidR="0033062B" w:rsidRPr="00A3194F" w:rsidRDefault="0033062B" w:rsidP="00A3194F">
            <w:pPr>
              <w:pStyle w:val="TableText"/>
            </w:pPr>
            <w:r w:rsidRPr="00A3194F">
              <w:t>Weighted Prevalence</w:t>
            </w:r>
          </w:p>
        </w:tc>
        <w:tc>
          <w:tcPr>
            <w:tcW w:w="0" w:type="pct"/>
          </w:tcPr>
          <w:p w14:paraId="60703A42" w14:textId="77777777" w:rsidR="0033062B" w:rsidRPr="00173684" w:rsidRDefault="0033062B" w:rsidP="00A3194F">
            <w:pPr>
              <w:pStyle w:val="TableText"/>
            </w:pPr>
            <w:r w:rsidRPr="00173684">
              <w:t xml:space="preserve">Prevalence estimate based on weighted counts. </w:t>
            </w:r>
          </w:p>
          <w:p w14:paraId="4C77CCD1" w14:textId="77777777" w:rsidR="0033062B" w:rsidRPr="00A3194F" w:rsidRDefault="00010989" w:rsidP="00A3194F">
            <w:pPr>
              <w:pStyle w:val="TableText"/>
            </w:pPr>
            <w:r>
              <w:t>The use of sample weights is highly recommended.</w:t>
            </w:r>
            <w:r w:rsidR="0033062B" w:rsidRPr="00173684">
              <w:t xml:space="preserve"> A sample weight is assigned to each sample person. It is a measure of the num</w:t>
            </w:r>
            <w:r w:rsidR="00173684" w:rsidRPr="00173684">
              <w:t xml:space="preserve">ber of </w:t>
            </w:r>
            <w:r w:rsidR="00504041">
              <w:t>children and teens</w:t>
            </w:r>
            <w:r w:rsidR="00173684" w:rsidRPr="00173684">
              <w:t xml:space="preserve"> in the population </w:t>
            </w:r>
            <w:r w:rsidR="0033062B" w:rsidRPr="00173684">
              <w:t>represented by that sample person.</w:t>
            </w:r>
            <w:r w:rsidR="00173684" w:rsidRPr="00173684">
              <w:t xml:space="preserve"> </w:t>
            </w:r>
            <w:r w:rsidR="0033062B" w:rsidRPr="00173684">
              <w:t>See Appendix A. Sample Weights for more information.</w:t>
            </w:r>
          </w:p>
        </w:tc>
      </w:tr>
      <w:tr w:rsidR="00173684" w:rsidRPr="00173684" w14:paraId="34406891" w14:textId="77777777" w:rsidTr="00A3194F">
        <w:trPr>
          <w:trHeight w:val="290"/>
        </w:trPr>
        <w:tc>
          <w:tcPr>
            <w:tcW w:w="0" w:type="pct"/>
          </w:tcPr>
          <w:p w14:paraId="3B427958" w14:textId="77777777" w:rsidR="0033062B" w:rsidRPr="00A3194F" w:rsidRDefault="0033062B" w:rsidP="00A3194F">
            <w:pPr>
              <w:pStyle w:val="TableText"/>
            </w:pPr>
            <w:r w:rsidRPr="00A3194F">
              <w:t>Weighted Prevalence Standard Error</w:t>
            </w:r>
          </w:p>
        </w:tc>
        <w:tc>
          <w:tcPr>
            <w:tcW w:w="0" w:type="pct"/>
          </w:tcPr>
          <w:p w14:paraId="00360A93" w14:textId="77777777" w:rsidR="0033062B" w:rsidRPr="00A3194F" w:rsidRDefault="0033062B" w:rsidP="00A3194F">
            <w:pPr>
              <w:pStyle w:val="TableText"/>
            </w:pPr>
            <w:r w:rsidRPr="00173684">
              <w:t>Standard error estimates based on weighted counts. See Appendix A. Variance Estimation for more information.</w:t>
            </w:r>
          </w:p>
        </w:tc>
      </w:tr>
      <w:tr w:rsidR="00010989" w:rsidRPr="00173684" w14:paraId="421A9ACC" w14:textId="77777777" w:rsidTr="00A3194F">
        <w:trPr>
          <w:trHeight w:val="290"/>
        </w:trPr>
        <w:tc>
          <w:tcPr>
            <w:tcW w:w="0" w:type="pct"/>
          </w:tcPr>
          <w:p w14:paraId="25F8613D" w14:textId="77777777" w:rsidR="00010989" w:rsidRPr="00173684" w:rsidRDefault="00010989" w:rsidP="00A3194F">
            <w:pPr>
              <w:pStyle w:val="TableText"/>
            </w:pPr>
            <w:r>
              <w:t>Age-adjusted Prevalence</w:t>
            </w:r>
          </w:p>
        </w:tc>
        <w:tc>
          <w:tcPr>
            <w:tcW w:w="0" w:type="pct"/>
          </w:tcPr>
          <w:p w14:paraId="44B72BDD" w14:textId="77777777" w:rsidR="00010989" w:rsidRPr="00173684" w:rsidRDefault="00010989" w:rsidP="00A3194F">
            <w:pPr>
              <w:pStyle w:val="TableText"/>
            </w:pPr>
            <w:r w:rsidRPr="00173684">
              <w:t xml:space="preserve">Prevalence estimate based on </w:t>
            </w:r>
            <w:r>
              <w:t>weighted, age-adjusted counts. See Appendix A. Age Adjustment for more information.</w:t>
            </w:r>
          </w:p>
        </w:tc>
      </w:tr>
      <w:tr w:rsidR="00010989" w:rsidRPr="00173684" w14:paraId="17BE892A" w14:textId="77777777" w:rsidTr="00A3194F">
        <w:trPr>
          <w:trHeight w:val="290"/>
        </w:trPr>
        <w:tc>
          <w:tcPr>
            <w:tcW w:w="0" w:type="pct"/>
          </w:tcPr>
          <w:p w14:paraId="11B151F7" w14:textId="77777777" w:rsidR="00010989" w:rsidRPr="00173684" w:rsidRDefault="00010989" w:rsidP="00A3194F">
            <w:pPr>
              <w:pStyle w:val="TableText"/>
            </w:pPr>
            <w:r>
              <w:t>Age-adjusted Prevalence Standard Error</w:t>
            </w:r>
          </w:p>
        </w:tc>
        <w:tc>
          <w:tcPr>
            <w:tcW w:w="0" w:type="pct"/>
          </w:tcPr>
          <w:p w14:paraId="5AA219A4" w14:textId="77777777" w:rsidR="00010989" w:rsidRPr="00173684" w:rsidRDefault="00010989" w:rsidP="00A3194F">
            <w:pPr>
              <w:pStyle w:val="TableText"/>
            </w:pPr>
            <w:r>
              <w:t>Standard error estimates based on weighted, age-adjusted counts.</w:t>
            </w:r>
          </w:p>
        </w:tc>
      </w:tr>
    </w:tbl>
    <w:p w14:paraId="03A0C8E8" w14:textId="77777777" w:rsidR="0033062B" w:rsidRDefault="0033062B" w:rsidP="009D3F3A"/>
    <w:p w14:paraId="4A482C0C" w14:textId="77777777" w:rsidR="00E25E62" w:rsidRDefault="00E25E62">
      <w:pPr>
        <w:rPr>
          <w:b/>
          <w:bCs/>
          <w:sz w:val="20"/>
        </w:rPr>
      </w:pPr>
      <w:r>
        <w:br w:type="page"/>
      </w:r>
    </w:p>
    <w:p w14:paraId="042ECBA6" w14:textId="3ABD0C91" w:rsidR="006F7F7C" w:rsidRDefault="006F7F7C" w:rsidP="00A3194F">
      <w:pPr>
        <w:pStyle w:val="Caption"/>
        <w:keepNext/>
      </w:pPr>
      <w:bookmarkStart w:id="49" w:name="_Toc46395267"/>
      <w:r>
        <w:lastRenderedPageBreak/>
        <w:t xml:space="preserve">Table </w:t>
      </w:r>
      <w:r w:rsidR="00977B42">
        <w:rPr>
          <w:noProof/>
        </w:rPr>
        <w:fldChar w:fldCharType="begin"/>
      </w:r>
      <w:r w:rsidR="00977B42">
        <w:rPr>
          <w:noProof/>
        </w:rPr>
        <w:instrText xml:space="preserve"> SEQ Table \* ARABIC </w:instrText>
      </w:r>
      <w:r w:rsidR="00977B42">
        <w:rPr>
          <w:noProof/>
        </w:rPr>
        <w:fldChar w:fldCharType="separate"/>
      </w:r>
      <w:r w:rsidR="009A1B7A">
        <w:rPr>
          <w:noProof/>
        </w:rPr>
        <w:t>2</w:t>
      </w:r>
      <w:r w:rsidR="00977B42">
        <w:rPr>
          <w:noProof/>
        </w:rPr>
        <w:fldChar w:fldCharType="end"/>
      </w:r>
      <w:r>
        <w:t>. Example Synthetic Data</w:t>
      </w:r>
      <w:bookmarkEnd w:id="49"/>
    </w:p>
    <w:tbl>
      <w:tblPr>
        <w:tblStyle w:val="GridTable1Light-Accent1"/>
        <w:tblW w:w="0" w:type="auto"/>
        <w:tblLayout w:type="fixed"/>
        <w:tblLook w:val="04A0" w:firstRow="1" w:lastRow="0" w:firstColumn="1" w:lastColumn="0" w:noHBand="0" w:noVBand="1"/>
        <w:tblCaption w:val="Table 2. Example Synthetic Data"/>
        <w:tblDescription w:val="A table with 8 columns that read, from left to right: Order, Weight Category, Sample, Population, Crude prevalence, Crude prevalence standard error, weighted prevalence, weighted prevalence standard error."/>
      </w:tblPr>
      <w:tblGrid>
        <w:gridCol w:w="445"/>
        <w:gridCol w:w="3690"/>
        <w:gridCol w:w="630"/>
        <w:gridCol w:w="810"/>
        <w:gridCol w:w="630"/>
        <w:gridCol w:w="900"/>
        <w:gridCol w:w="900"/>
        <w:gridCol w:w="1260"/>
      </w:tblGrid>
      <w:tr w:rsidR="00E25E62" w:rsidRPr="00DD068A" w14:paraId="0BE4AFE1" w14:textId="77777777" w:rsidTr="001C5159">
        <w:trPr>
          <w:cnfStyle w:val="100000000000" w:firstRow="1" w:lastRow="0" w:firstColumn="0" w:lastColumn="0" w:oddVBand="0" w:evenVBand="0" w:oddHBand="0" w:evenHBand="0" w:firstRowFirstColumn="0" w:firstRowLastColumn="0" w:lastRowFirstColumn="0" w:lastRowLastColumn="0"/>
          <w:cantSplit/>
          <w:trHeight w:val="1646"/>
          <w:tblHeader/>
        </w:trPr>
        <w:tc>
          <w:tcPr>
            <w:cnfStyle w:val="001000000000" w:firstRow="0" w:lastRow="0" w:firstColumn="1" w:lastColumn="0" w:oddVBand="0" w:evenVBand="0" w:oddHBand="0" w:evenHBand="0" w:firstRowFirstColumn="0" w:firstRowLastColumn="0" w:lastRowFirstColumn="0" w:lastRowLastColumn="0"/>
            <w:tcW w:w="445" w:type="dxa"/>
            <w:noWrap/>
            <w:textDirection w:val="btLr"/>
            <w:hideMark/>
          </w:tcPr>
          <w:p w14:paraId="12474299" w14:textId="77777777" w:rsidR="00DD068A" w:rsidRPr="00A3194F" w:rsidRDefault="00DD068A" w:rsidP="00A3194F">
            <w:pPr>
              <w:ind w:left="113" w:right="113"/>
              <w:rPr>
                <w:rFonts w:ascii="Arial Narrow" w:hAnsi="Arial Narrow" w:cs="Calibri"/>
                <w:color w:val="000000"/>
                <w:sz w:val="16"/>
                <w:szCs w:val="16"/>
              </w:rPr>
            </w:pPr>
            <w:r w:rsidRPr="00A3194F">
              <w:rPr>
                <w:rFonts w:ascii="Arial Narrow" w:hAnsi="Arial Narrow" w:cs="Calibri"/>
                <w:color w:val="000000"/>
                <w:sz w:val="16"/>
                <w:szCs w:val="16"/>
              </w:rPr>
              <w:t>Order</w:t>
            </w:r>
          </w:p>
        </w:tc>
        <w:tc>
          <w:tcPr>
            <w:tcW w:w="3690" w:type="dxa"/>
            <w:noWrap/>
            <w:textDirection w:val="btLr"/>
            <w:hideMark/>
          </w:tcPr>
          <w:p w14:paraId="52D2B043"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 Category</w:t>
            </w:r>
          </w:p>
        </w:tc>
        <w:tc>
          <w:tcPr>
            <w:tcW w:w="630" w:type="dxa"/>
            <w:noWrap/>
            <w:textDirection w:val="btLr"/>
            <w:hideMark/>
          </w:tcPr>
          <w:p w14:paraId="77C0DB85"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Sample</w:t>
            </w:r>
          </w:p>
        </w:tc>
        <w:tc>
          <w:tcPr>
            <w:tcW w:w="810" w:type="dxa"/>
            <w:noWrap/>
            <w:textDirection w:val="btLr"/>
            <w:hideMark/>
          </w:tcPr>
          <w:p w14:paraId="3CB26DB6"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Population</w:t>
            </w:r>
          </w:p>
        </w:tc>
        <w:tc>
          <w:tcPr>
            <w:tcW w:w="630" w:type="dxa"/>
            <w:noWrap/>
            <w:textDirection w:val="btLr"/>
            <w:hideMark/>
          </w:tcPr>
          <w:p w14:paraId="2427A447"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Crude Prevalence</w:t>
            </w:r>
          </w:p>
        </w:tc>
        <w:tc>
          <w:tcPr>
            <w:tcW w:w="900" w:type="dxa"/>
            <w:noWrap/>
            <w:textDirection w:val="btLr"/>
            <w:hideMark/>
          </w:tcPr>
          <w:p w14:paraId="1FD6045F"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Crude Prevalence Standard Error</w:t>
            </w:r>
          </w:p>
        </w:tc>
        <w:tc>
          <w:tcPr>
            <w:tcW w:w="900" w:type="dxa"/>
            <w:noWrap/>
            <w:textDirection w:val="btLr"/>
            <w:hideMark/>
          </w:tcPr>
          <w:p w14:paraId="70727C69"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Weighted Prevalence</w:t>
            </w:r>
          </w:p>
        </w:tc>
        <w:tc>
          <w:tcPr>
            <w:tcW w:w="1260" w:type="dxa"/>
            <w:noWrap/>
            <w:textDirection w:val="btLr"/>
            <w:hideMark/>
          </w:tcPr>
          <w:p w14:paraId="731BC86B" w14:textId="77777777" w:rsidR="00DD068A" w:rsidRPr="00A3194F" w:rsidRDefault="00DD068A" w:rsidP="00A3194F">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Weighted Prevalence Standard Error</w:t>
            </w:r>
          </w:p>
        </w:tc>
      </w:tr>
      <w:tr w:rsidR="00E25E62" w:rsidRPr="00DD068A" w14:paraId="47C51850"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5F3BF9B7" w14:textId="77777777" w:rsidR="00DD068A" w:rsidRPr="00A3194F" w:rsidRDefault="00DD068A" w:rsidP="00A3194F">
            <w:pPr>
              <w:pStyle w:val="TableTextSmaller"/>
            </w:pPr>
            <w:r w:rsidRPr="00A3194F">
              <w:t>1</w:t>
            </w:r>
          </w:p>
        </w:tc>
        <w:tc>
          <w:tcPr>
            <w:tcW w:w="3690" w:type="dxa"/>
            <w:noWrap/>
            <w:hideMark/>
          </w:tcPr>
          <w:p w14:paraId="1AE7DD6A"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 Underweight (&lt;5th percentile)</w:t>
            </w:r>
          </w:p>
        </w:tc>
        <w:tc>
          <w:tcPr>
            <w:tcW w:w="630" w:type="dxa"/>
            <w:noWrap/>
            <w:hideMark/>
          </w:tcPr>
          <w:p w14:paraId="4C25EF9E"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61</w:t>
            </w:r>
          </w:p>
        </w:tc>
        <w:tc>
          <w:tcPr>
            <w:tcW w:w="810" w:type="dxa"/>
            <w:noWrap/>
            <w:hideMark/>
          </w:tcPr>
          <w:p w14:paraId="66665E82"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5,801</w:t>
            </w:r>
          </w:p>
        </w:tc>
        <w:tc>
          <w:tcPr>
            <w:tcW w:w="630" w:type="dxa"/>
            <w:noWrap/>
            <w:hideMark/>
          </w:tcPr>
          <w:p w14:paraId="00448077"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4.16</w:t>
            </w:r>
          </w:p>
        </w:tc>
        <w:tc>
          <w:tcPr>
            <w:tcW w:w="900" w:type="dxa"/>
            <w:noWrap/>
            <w:hideMark/>
          </w:tcPr>
          <w:p w14:paraId="5F010389"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0.25</w:t>
            </w:r>
          </w:p>
        </w:tc>
        <w:tc>
          <w:tcPr>
            <w:tcW w:w="900" w:type="dxa"/>
            <w:noWrap/>
            <w:hideMark/>
          </w:tcPr>
          <w:p w14:paraId="44F1825A"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4.80</w:t>
            </w:r>
          </w:p>
        </w:tc>
        <w:tc>
          <w:tcPr>
            <w:tcW w:w="1260" w:type="dxa"/>
            <w:noWrap/>
            <w:hideMark/>
          </w:tcPr>
          <w:p w14:paraId="002287EC"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0.82</w:t>
            </w:r>
          </w:p>
        </w:tc>
      </w:tr>
      <w:tr w:rsidR="00E25E62" w:rsidRPr="00DD068A" w14:paraId="25201F2E"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F429C03" w14:textId="77777777" w:rsidR="00DD068A" w:rsidRPr="00A3194F" w:rsidRDefault="00DD068A" w:rsidP="00A3194F">
            <w:pPr>
              <w:pStyle w:val="TableTextSmaller"/>
            </w:pPr>
            <w:r w:rsidRPr="00A3194F">
              <w:t>1</w:t>
            </w:r>
          </w:p>
        </w:tc>
        <w:tc>
          <w:tcPr>
            <w:tcW w:w="3690" w:type="dxa"/>
            <w:noWrap/>
            <w:hideMark/>
          </w:tcPr>
          <w:p w14:paraId="69681D58"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 Healthy Weight (5th to &lt;85th percentile)</w:t>
            </w:r>
          </w:p>
        </w:tc>
        <w:tc>
          <w:tcPr>
            <w:tcW w:w="630" w:type="dxa"/>
            <w:noWrap/>
            <w:hideMark/>
          </w:tcPr>
          <w:p w14:paraId="5A3A955B"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824</w:t>
            </w:r>
          </w:p>
        </w:tc>
        <w:tc>
          <w:tcPr>
            <w:tcW w:w="810" w:type="dxa"/>
            <w:noWrap/>
            <w:hideMark/>
          </w:tcPr>
          <w:p w14:paraId="14809C7A"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82,020</w:t>
            </w:r>
          </w:p>
        </w:tc>
        <w:tc>
          <w:tcPr>
            <w:tcW w:w="630" w:type="dxa"/>
            <w:noWrap/>
            <w:hideMark/>
          </w:tcPr>
          <w:p w14:paraId="24FFB4B0"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56.17</w:t>
            </w:r>
          </w:p>
        </w:tc>
        <w:tc>
          <w:tcPr>
            <w:tcW w:w="900" w:type="dxa"/>
            <w:noWrap/>
            <w:hideMark/>
          </w:tcPr>
          <w:p w14:paraId="00C3788B"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1.3</w:t>
            </w:r>
          </w:p>
        </w:tc>
        <w:tc>
          <w:tcPr>
            <w:tcW w:w="900" w:type="dxa"/>
            <w:noWrap/>
            <w:hideMark/>
          </w:tcPr>
          <w:p w14:paraId="65F40D3D"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67.88</w:t>
            </w:r>
          </w:p>
        </w:tc>
        <w:tc>
          <w:tcPr>
            <w:tcW w:w="1260" w:type="dxa"/>
            <w:noWrap/>
            <w:hideMark/>
          </w:tcPr>
          <w:p w14:paraId="5EACC576"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3.58</w:t>
            </w:r>
          </w:p>
        </w:tc>
      </w:tr>
      <w:tr w:rsidR="00E25E62" w:rsidRPr="00DD068A" w14:paraId="4742A8C2"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5C58DCFC" w14:textId="77777777" w:rsidR="00DD068A" w:rsidRPr="00A3194F" w:rsidRDefault="00DD068A" w:rsidP="00A3194F">
            <w:pPr>
              <w:pStyle w:val="TableTextSmaller"/>
            </w:pPr>
            <w:r w:rsidRPr="00A3194F">
              <w:t>1</w:t>
            </w:r>
          </w:p>
        </w:tc>
        <w:tc>
          <w:tcPr>
            <w:tcW w:w="3690" w:type="dxa"/>
            <w:noWrap/>
            <w:hideMark/>
          </w:tcPr>
          <w:p w14:paraId="58228F01"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(3) Overweight (85th to &lt;95th percentile)</w:t>
            </w:r>
          </w:p>
        </w:tc>
        <w:tc>
          <w:tcPr>
            <w:tcW w:w="630" w:type="dxa"/>
            <w:noWrap/>
            <w:hideMark/>
          </w:tcPr>
          <w:p w14:paraId="40D502F0"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251</w:t>
            </w:r>
          </w:p>
        </w:tc>
        <w:tc>
          <w:tcPr>
            <w:tcW w:w="810" w:type="dxa"/>
            <w:noWrap/>
            <w:hideMark/>
          </w:tcPr>
          <w:p w14:paraId="46DE8867"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14,752</w:t>
            </w:r>
          </w:p>
        </w:tc>
        <w:tc>
          <w:tcPr>
            <w:tcW w:w="630" w:type="dxa"/>
            <w:noWrap/>
            <w:hideMark/>
          </w:tcPr>
          <w:p w14:paraId="6223C1BD"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17.11</w:t>
            </w:r>
          </w:p>
        </w:tc>
        <w:tc>
          <w:tcPr>
            <w:tcW w:w="900" w:type="dxa"/>
            <w:noWrap/>
            <w:hideMark/>
          </w:tcPr>
          <w:p w14:paraId="10CC6633"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0.98</w:t>
            </w:r>
          </w:p>
        </w:tc>
        <w:tc>
          <w:tcPr>
            <w:tcW w:w="900" w:type="dxa"/>
            <w:noWrap/>
            <w:hideMark/>
          </w:tcPr>
          <w:p w14:paraId="0C7973A5"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12.21</w:t>
            </w:r>
          </w:p>
        </w:tc>
        <w:tc>
          <w:tcPr>
            <w:tcW w:w="1260" w:type="dxa"/>
            <w:noWrap/>
            <w:hideMark/>
          </w:tcPr>
          <w:p w14:paraId="2A562E80"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2.42</w:t>
            </w:r>
          </w:p>
        </w:tc>
      </w:tr>
      <w:tr w:rsidR="00E25E62" w:rsidRPr="00DD068A" w14:paraId="116FE451"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3510685" w14:textId="77777777" w:rsidR="00DD068A" w:rsidRPr="00A3194F" w:rsidRDefault="00DD068A" w:rsidP="00A3194F">
            <w:pPr>
              <w:pStyle w:val="TableTextSmaller"/>
            </w:pPr>
            <w:r w:rsidRPr="00A3194F">
              <w:t>1</w:t>
            </w:r>
          </w:p>
        </w:tc>
        <w:tc>
          <w:tcPr>
            <w:tcW w:w="3690" w:type="dxa"/>
            <w:noWrap/>
            <w:hideMark/>
          </w:tcPr>
          <w:p w14:paraId="367419AC"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(4) Obesity (&gt;95th percentile)</w:t>
            </w:r>
          </w:p>
        </w:tc>
        <w:tc>
          <w:tcPr>
            <w:tcW w:w="630" w:type="dxa"/>
            <w:noWrap/>
            <w:hideMark/>
          </w:tcPr>
          <w:p w14:paraId="1F09B0E8"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331</w:t>
            </w:r>
          </w:p>
        </w:tc>
        <w:tc>
          <w:tcPr>
            <w:tcW w:w="810" w:type="dxa"/>
            <w:noWrap/>
            <w:hideMark/>
          </w:tcPr>
          <w:p w14:paraId="51D46A74"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18,255</w:t>
            </w:r>
          </w:p>
        </w:tc>
        <w:tc>
          <w:tcPr>
            <w:tcW w:w="630" w:type="dxa"/>
            <w:noWrap/>
            <w:hideMark/>
          </w:tcPr>
          <w:p w14:paraId="5D04CA7E"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22.56</w:t>
            </w:r>
          </w:p>
        </w:tc>
        <w:tc>
          <w:tcPr>
            <w:tcW w:w="900" w:type="dxa"/>
            <w:noWrap/>
            <w:hideMark/>
          </w:tcPr>
          <w:p w14:paraId="1BD92243"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1.09</w:t>
            </w:r>
          </w:p>
        </w:tc>
        <w:tc>
          <w:tcPr>
            <w:tcW w:w="900" w:type="dxa"/>
            <w:noWrap/>
            <w:hideMark/>
          </w:tcPr>
          <w:p w14:paraId="740419B0"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15.11</w:t>
            </w:r>
          </w:p>
        </w:tc>
        <w:tc>
          <w:tcPr>
            <w:tcW w:w="1260" w:type="dxa"/>
            <w:noWrap/>
            <w:hideMark/>
          </w:tcPr>
          <w:p w14:paraId="5C5A5B5D"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2.89</w:t>
            </w:r>
          </w:p>
        </w:tc>
      </w:tr>
      <w:tr w:rsidR="00E25E62" w:rsidRPr="00DD068A" w14:paraId="5B2AB50A"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0C96AFA0" w14:textId="77777777" w:rsidR="00DD068A" w:rsidRPr="00A3194F" w:rsidRDefault="00DD068A" w:rsidP="00A3194F">
            <w:pPr>
              <w:pStyle w:val="TableTextSmaller"/>
            </w:pPr>
            <w:r w:rsidRPr="00A3194F">
              <w:t>1</w:t>
            </w:r>
          </w:p>
        </w:tc>
        <w:tc>
          <w:tcPr>
            <w:tcW w:w="3690" w:type="dxa"/>
            <w:noWrap/>
            <w:hideMark/>
          </w:tcPr>
          <w:p w14:paraId="0BDC4972"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(4b) Severe Obesity (&gt;120% of the 95th percentile)</w:t>
            </w:r>
          </w:p>
        </w:tc>
        <w:tc>
          <w:tcPr>
            <w:tcW w:w="630" w:type="dxa"/>
            <w:noWrap/>
            <w:hideMark/>
          </w:tcPr>
          <w:p w14:paraId="1CFA565C"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100</w:t>
            </w:r>
          </w:p>
        </w:tc>
        <w:tc>
          <w:tcPr>
            <w:tcW w:w="810" w:type="dxa"/>
            <w:noWrap/>
            <w:hideMark/>
          </w:tcPr>
          <w:p w14:paraId="4ACFC6E3"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6,085</w:t>
            </w:r>
          </w:p>
        </w:tc>
        <w:tc>
          <w:tcPr>
            <w:tcW w:w="630" w:type="dxa"/>
            <w:noWrap/>
            <w:hideMark/>
          </w:tcPr>
          <w:p w14:paraId="200DC689"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7.52</w:t>
            </w:r>
          </w:p>
        </w:tc>
        <w:tc>
          <w:tcPr>
            <w:tcW w:w="900" w:type="dxa"/>
            <w:noWrap/>
            <w:hideMark/>
          </w:tcPr>
          <w:p w14:paraId="4B8647F7"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1.01</w:t>
            </w:r>
          </w:p>
        </w:tc>
        <w:tc>
          <w:tcPr>
            <w:tcW w:w="900" w:type="dxa"/>
            <w:noWrap/>
            <w:hideMark/>
          </w:tcPr>
          <w:p w14:paraId="7983B288"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5.25</w:t>
            </w:r>
          </w:p>
        </w:tc>
        <w:tc>
          <w:tcPr>
            <w:tcW w:w="1260" w:type="dxa"/>
            <w:noWrap/>
            <w:hideMark/>
          </w:tcPr>
          <w:p w14:paraId="4C650983"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2.22</w:t>
            </w:r>
          </w:p>
        </w:tc>
      </w:tr>
      <w:tr w:rsidR="00E25E62" w:rsidRPr="00DD068A" w14:paraId="5EF8321F"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070214B" w14:textId="77777777" w:rsidR="00DD068A" w:rsidRPr="00A3194F" w:rsidRDefault="00DD068A" w:rsidP="00A3194F">
            <w:pPr>
              <w:pStyle w:val="TableTextSmaller"/>
            </w:pPr>
            <w:r w:rsidRPr="00A3194F">
              <w:t>2</w:t>
            </w:r>
          </w:p>
        </w:tc>
        <w:tc>
          <w:tcPr>
            <w:tcW w:w="3690" w:type="dxa"/>
            <w:noWrap/>
            <w:hideMark/>
          </w:tcPr>
          <w:p w14:paraId="38B9F9DC"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Totals:</w:t>
            </w:r>
          </w:p>
        </w:tc>
        <w:tc>
          <w:tcPr>
            <w:tcW w:w="630" w:type="dxa"/>
            <w:noWrap/>
            <w:hideMark/>
          </w:tcPr>
          <w:p w14:paraId="51B34EED"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1,467</w:t>
            </w:r>
          </w:p>
        </w:tc>
        <w:tc>
          <w:tcPr>
            <w:tcW w:w="810" w:type="dxa"/>
            <w:noWrap/>
            <w:hideMark/>
          </w:tcPr>
          <w:p w14:paraId="66E7CA6A"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120,828</w:t>
            </w:r>
          </w:p>
        </w:tc>
        <w:tc>
          <w:tcPr>
            <w:tcW w:w="630" w:type="dxa"/>
            <w:noWrap/>
            <w:hideMark/>
          </w:tcPr>
          <w:p w14:paraId="654D290F"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5C2D1B82"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49853C1E"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noWrap/>
            <w:hideMark/>
          </w:tcPr>
          <w:p w14:paraId="17602856" w14:textId="77777777" w:rsidR="00DD068A" w:rsidRPr="00A3194F" w:rsidRDefault="00DD068A"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ACA73CC"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2A7C904" w14:textId="77777777" w:rsidR="006F7F7C" w:rsidRPr="00A3194F" w:rsidRDefault="006F7F7C" w:rsidP="00A3194F">
            <w:pPr>
              <w:pStyle w:val="TableTextSmaller"/>
            </w:pPr>
            <w:r w:rsidRPr="00A3194F">
              <w:t>3</w:t>
            </w:r>
          </w:p>
        </w:tc>
        <w:tc>
          <w:tcPr>
            <w:tcW w:w="3690" w:type="dxa"/>
            <w:noWrap/>
            <w:hideMark/>
          </w:tcPr>
          <w:p w14:paraId="29D7A507"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Dataset: IQVIA, 2016-2018</w:t>
            </w:r>
          </w:p>
        </w:tc>
        <w:tc>
          <w:tcPr>
            <w:tcW w:w="630" w:type="dxa"/>
          </w:tcPr>
          <w:p w14:paraId="50E2B9B6"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24FB4F7D"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825361E"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699F038"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AA16D95"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DF5D3C8"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6AB2CC67"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3C958A3" w14:textId="77777777" w:rsidR="006F7F7C" w:rsidRPr="00A3194F" w:rsidRDefault="006F7F7C" w:rsidP="00A3194F">
            <w:pPr>
              <w:pStyle w:val="TableTextSmaller"/>
            </w:pPr>
            <w:r w:rsidRPr="00A3194F">
              <w:t>4</w:t>
            </w:r>
          </w:p>
        </w:tc>
        <w:tc>
          <w:tcPr>
            <w:tcW w:w="3690" w:type="dxa"/>
            <w:noWrap/>
            <w:hideMark/>
          </w:tcPr>
          <w:p w14:paraId="1E5A450D"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Query Parameters: AGE RACE SEX GEOGRAPHY YEAR</w:t>
            </w:r>
          </w:p>
        </w:tc>
        <w:tc>
          <w:tcPr>
            <w:tcW w:w="630" w:type="dxa"/>
          </w:tcPr>
          <w:p w14:paraId="0817C36A"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12B07C1F"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7967719"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263B8A7"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6AF857B"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6A09CF8"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539CA908"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858845A" w14:textId="77777777" w:rsidR="006F7F7C" w:rsidRPr="00A3194F" w:rsidRDefault="006F7F7C" w:rsidP="00A3194F">
            <w:pPr>
              <w:pStyle w:val="TableTextSmaller"/>
            </w:pPr>
            <w:r w:rsidRPr="00A3194F">
              <w:t>5</w:t>
            </w:r>
          </w:p>
        </w:tc>
        <w:tc>
          <w:tcPr>
            <w:tcW w:w="3690" w:type="dxa"/>
            <w:noWrap/>
            <w:hideMark/>
          </w:tcPr>
          <w:p w14:paraId="26DA50FB"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AGE: (02 - 04, 05 - 09, 10 - 14, 15 - 17, 18 - 19)</w:t>
            </w:r>
          </w:p>
        </w:tc>
        <w:tc>
          <w:tcPr>
            <w:tcW w:w="630" w:type="dxa"/>
          </w:tcPr>
          <w:p w14:paraId="20617052"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51ECA09"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939A9B7"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430A147"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8A80BCA"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1D92CE9"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A88F06A"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C0D6F33" w14:textId="77777777" w:rsidR="006F7F7C" w:rsidRPr="00A3194F" w:rsidRDefault="006F7F7C" w:rsidP="00A3194F">
            <w:pPr>
              <w:pStyle w:val="TableTextSmaller"/>
            </w:pPr>
            <w:r w:rsidRPr="00A3194F">
              <w:t>6</w:t>
            </w:r>
          </w:p>
        </w:tc>
        <w:tc>
          <w:tcPr>
            <w:tcW w:w="3690" w:type="dxa"/>
            <w:noWrap/>
            <w:hideMark/>
          </w:tcPr>
          <w:p w14:paraId="6A6FC274"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SEX: (Male, Female)</w:t>
            </w:r>
          </w:p>
        </w:tc>
        <w:tc>
          <w:tcPr>
            <w:tcW w:w="630" w:type="dxa"/>
          </w:tcPr>
          <w:p w14:paraId="5C83CE8E"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7980570"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2E156A16"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693A404"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907CEA5"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B8F7BB0"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5D5C416A"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27C1ED9" w14:textId="77777777" w:rsidR="006F7F7C" w:rsidRPr="00A3194F" w:rsidRDefault="006F7F7C" w:rsidP="00A3194F">
            <w:pPr>
              <w:pStyle w:val="TableTextSmaller"/>
            </w:pPr>
            <w:r w:rsidRPr="00A3194F">
              <w:t>7</w:t>
            </w:r>
          </w:p>
        </w:tc>
        <w:tc>
          <w:tcPr>
            <w:tcW w:w="3690" w:type="dxa"/>
            <w:noWrap/>
            <w:hideMark/>
          </w:tcPr>
          <w:p w14:paraId="1EB84CEA"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RACE: (White, Black, Asian, Other)</w:t>
            </w:r>
          </w:p>
        </w:tc>
        <w:tc>
          <w:tcPr>
            <w:tcW w:w="630" w:type="dxa"/>
          </w:tcPr>
          <w:p w14:paraId="1F6B7E02"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79CDD3C3"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6841D327"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04E6DFD"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BDE4F31"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A90BAD5"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68CBCAC"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374656A6" w14:textId="77777777" w:rsidR="006F7F7C" w:rsidRPr="00A3194F" w:rsidRDefault="006F7F7C" w:rsidP="00A3194F">
            <w:pPr>
              <w:pStyle w:val="TableTextSmaller"/>
            </w:pPr>
            <w:r w:rsidRPr="00A3194F">
              <w:t>8</w:t>
            </w:r>
          </w:p>
        </w:tc>
        <w:tc>
          <w:tcPr>
            <w:tcW w:w="3690" w:type="dxa"/>
            <w:noWrap/>
          </w:tcPr>
          <w:p w14:paraId="207701A9"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RACE Suppressed: (Other) See </w:t>
            </w:r>
            <w:r w:rsidRPr="000C3F14">
              <w:t>https://github.com/NORC-UChicago/CODI-PQ</w:t>
            </w:r>
            <w:r w:rsidRPr="00A3194F">
              <w:t xml:space="preserve"> for more information.</w:t>
            </w:r>
          </w:p>
        </w:tc>
        <w:tc>
          <w:tcPr>
            <w:tcW w:w="630" w:type="dxa"/>
          </w:tcPr>
          <w:p w14:paraId="108784B1"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39FA3B0A"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FB7C613"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8369FC4"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29C0C60"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793A779"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1E8739B7"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102F0C19" w14:textId="77777777" w:rsidR="006F7F7C" w:rsidRPr="00A3194F" w:rsidRDefault="006F7F7C" w:rsidP="00A3194F">
            <w:pPr>
              <w:pStyle w:val="TableTextSmaller"/>
            </w:pPr>
            <w:r w:rsidRPr="00A3194F">
              <w:t>9</w:t>
            </w:r>
          </w:p>
        </w:tc>
        <w:tc>
          <w:tcPr>
            <w:tcW w:w="3690" w:type="dxa"/>
            <w:noWrap/>
          </w:tcPr>
          <w:p w14:paraId="77EFC710"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RACE Imputed: People with unknown race were excluded.</w:t>
            </w:r>
          </w:p>
        </w:tc>
        <w:tc>
          <w:tcPr>
            <w:tcW w:w="630" w:type="dxa"/>
          </w:tcPr>
          <w:p w14:paraId="44B4A28E"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0CCF13C"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314F67DC"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E502D53"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4E7B126"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7840380"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047574C"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4BDF0D4" w14:textId="77777777" w:rsidR="006F7F7C" w:rsidRPr="00A3194F" w:rsidRDefault="006F7F7C" w:rsidP="00A3194F">
            <w:pPr>
              <w:pStyle w:val="TableTextSmaller"/>
            </w:pPr>
            <w:r w:rsidRPr="00A3194F">
              <w:t>10</w:t>
            </w:r>
          </w:p>
        </w:tc>
        <w:tc>
          <w:tcPr>
            <w:tcW w:w="3690" w:type="dxa"/>
            <w:noWrap/>
            <w:hideMark/>
          </w:tcPr>
          <w:p w14:paraId="45CCDC91"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Geography: (XX) State</w:t>
            </w:r>
            <w:r>
              <w:t>_</w:t>
            </w:r>
            <w:r w:rsidRPr="00A3194F">
              <w:t>Name</w:t>
            </w:r>
          </w:p>
        </w:tc>
        <w:tc>
          <w:tcPr>
            <w:tcW w:w="630" w:type="dxa"/>
          </w:tcPr>
          <w:p w14:paraId="5F368190"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91557D0"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2D6B2FC"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19D4105"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8D41DA1" w14:textId="77777777" w:rsidR="006F7F7C" w:rsidRPr="00050CB1"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C8187E6" w14:textId="77777777" w:rsidR="006F7F7C" w:rsidRPr="00A3194F" w:rsidRDefault="006F7F7C"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2BBE138A"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BECE927" w14:textId="77777777" w:rsidR="00571250" w:rsidRPr="00A3194F" w:rsidRDefault="00571250" w:rsidP="00A3194F">
            <w:pPr>
              <w:pStyle w:val="TableTextSmaller"/>
            </w:pPr>
            <w:r w:rsidRPr="00A3194F">
              <w:t>11</w:t>
            </w:r>
          </w:p>
        </w:tc>
        <w:tc>
          <w:tcPr>
            <w:tcW w:w="3690" w:type="dxa"/>
            <w:noWrap/>
            <w:hideMark/>
          </w:tcPr>
          <w:p w14:paraId="4AB988C2"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t>Year: 2018</w:t>
            </w:r>
          </w:p>
        </w:tc>
        <w:tc>
          <w:tcPr>
            <w:tcW w:w="630" w:type="dxa"/>
          </w:tcPr>
          <w:p w14:paraId="4AC0639A"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1B9DEB7"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62A1EF2A"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961128B"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C115B1B"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0E0D0FB"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0805791"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1F7F339" w14:textId="77777777" w:rsidR="00571250" w:rsidRPr="00A3194F" w:rsidRDefault="00571250" w:rsidP="00A3194F">
            <w:pPr>
              <w:pStyle w:val="TableTextSmaller"/>
            </w:pPr>
            <w:r w:rsidRPr="00A3194F">
              <w:t>12</w:t>
            </w:r>
          </w:p>
        </w:tc>
        <w:tc>
          <w:tcPr>
            <w:tcW w:w="3690" w:type="dxa"/>
            <w:noWrap/>
            <w:hideMark/>
          </w:tcPr>
          <w:p w14:paraId="703A82EF"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Weighting cells were collapsed for: (Geography)</w:t>
            </w:r>
          </w:p>
        </w:tc>
        <w:tc>
          <w:tcPr>
            <w:tcW w:w="630" w:type="dxa"/>
          </w:tcPr>
          <w:p w14:paraId="0FBDF1A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04EB690F"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62A276F"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A37B600"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364DEE53"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6BCB533"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67903568"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06AC410D" w14:textId="77777777" w:rsidR="00571250" w:rsidRPr="00A3194F" w:rsidRDefault="00571250" w:rsidP="00A3194F">
            <w:pPr>
              <w:pStyle w:val="TableTextSmaller"/>
            </w:pPr>
            <w:r w:rsidRPr="00A3194F">
              <w:t>13</w:t>
            </w:r>
          </w:p>
        </w:tc>
        <w:tc>
          <w:tcPr>
            <w:tcW w:w="3690" w:type="dxa"/>
            <w:noWrap/>
          </w:tcPr>
          <w:p w14:paraId="19484E7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AGE adjusted?: (No)</w:t>
            </w:r>
          </w:p>
        </w:tc>
        <w:tc>
          <w:tcPr>
            <w:tcW w:w="630" w:type="dxa"/>
          </w:tcPr>
          <w:p w14:paraId="05F5F9C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87D0284"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7ED66202"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17AE1B0"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230D342"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6257F45"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1FEEF778"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225DD197" w14:textId="77777777" w:rsidR="00571250" w:rsidRPr="00A3194F" w:rsidRDefault="00571250" w:rsidP="00A3194F">
            <w:pPr>
              <w:pStyle w:val="TableTextSmaller"/>
            </w:pPr>
            <w:r w:rsidRPr="00A3194F">
              <w:t>13</w:t>
            </w:r>
          </w:p>
        </w:tc>
        <w:tc>
          <w:tcPr>
            <w:tcW w:w="3690" w:type="dxa"/>
            <w:noWrap/>
          </w:tcPr>
          <w:p w14:paraId="043E5C8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Error Codes: (None)</w:t>
            </w:r>
          </w:p>
        </w:tc>
        <w:tc>
          <w:tcPr>
            <w:tcW w:w="630" w:type="dxa"/>
          </w:tcPr>
          <w:p w14:paraId="67709C9A"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634BFEC"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0B3A3D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6A23B0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8BFBBBC"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E91F19D"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118BB7E8"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D986B7F" w14:textId="77777777" w:rsidR="00571250" w:rsidRPr="00A3194F" w:rsidRDefault="00571250" w:rsidP="00A3194F">
            <w:pPr>
              <w:pStyle w:val="TableTextSmaller"/>
            </w:pPr>
            <w:r w:rsidRPr="00A3194F">
              <w:t>14</w:t>
            </w:r>
          </w:p>
        </w:tc>
        <w:tc>
          <w:tcPr>
            <w:tcW w:w="3690" w:type="dxa"/>
            <w:noWrap/>
            <w:hideMark/>
          </w:tcPr>
          <w:p w14:paraId="4B60A3C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Technical Documentation: See </w:t>
            </w:r>
            <w:r w:rsidRPr="000C3F14">
              <w:t>https://github.com/NORC-UChicago/CODI-PQ</w:t>
            </w:r>
            <w:r w:rsidRPr="00A3194F">
              <w:t xml:space="preserve"> for more information and full details on data sources and methodologies.</w:t>
            </w:r>
          </w:p>
        </w:tc>
        <w:tc>
          <w:tcPr>
            <w:tcW w:w="630" w:type="dxa"/>
          </w:tcPr>
          <w:p w14:paraId="5576FAE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08551C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25A02168"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B2E56E5"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BC846F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D56446C"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ED6150E"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81AFC80" w14:textId="77777777" w:rsidR="00571250" w:rsidRPr="00A3194F" w:rsidRDefault="00571250" w:rsidP="00A3194F">
            <w:pPr>
              <w:pStyle w:val="TableTextSmaller"/>
            </w:pPr>
            <w:r w:rsidRPr="00A3194F">
              <w:t>15</w:t>
            </w:r>
          </w:p>
        </w:tc>
        <w:tc>
          <w:tcPr>
            <w:tcW w:w="3690" w:type="dxa"/>
            <w:noWrap/>
            <w:hideMark/>
          </w:tcPr>
          <w:p w14:paraId="7E557D55"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Query Date: Friday, 1 </w:t>
            </w:r>
            <w:r w:rsidR="00F321F0">
              <w:t>July</w:t>
            </w:r>
            <w:r w:rsidRPr="00A3194F">
              <w:t xml:space="preserve"> </w:t>
            </w:r>
            <w:r w:rsidR="00F321F0">
              <w:t>2020</w:t>
            </w:r>
            <w:r w:rsidRPr="00A3194F">
              <w:t xml:space="preserve"> 4:09:46 PM</w:t>
            </w:r>
          </w:p>
        </w:tc>
        <w:tc>
          <w:tcPr>
            <w:tcW w:w="630" w:type="dxa"/>
          </w:tcPr>
          <w:p w14:paraId="30B626FB"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70243D3"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0CF0CAED"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CA58E56"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652417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CA69CB1"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0060C8B5"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5F2A35B" w14:textId="77777777" w:rsidR="00571250" w:rsidRPr="00A3194F" w:rsidRDefault="00571250" w:rsidP="00A3194F">
            <w:pPr>
              <w:pStyle w:val="TableTextSmaller"/>
            </w:pPr>
            <w:r w:rsidRPr="00A3194F">
              <w:t>15</w:t>
            </w:r>
          </w:p>
        </w:tc>
        <w:tc>
          <w:tcPr>
            <w:tcW w:w="3690" w:type="dxa"/>
            <w:noWrap/>
            <w:hideMark/>
          </w:tcPr>
          <w:p w14:paraId="7871E233"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Suggested Citation: AEMR-US version 5 OMOP 5 [Aug 2019 Release] accessed through the E360TM Software-as-a-Service (SaaS) Platform. Accessed through prevalence query on Friday, 1 January 1960 4:09:46 PM</w:t>
            </w:r>
          </w:p>
        </w:tc>
        <w:tc>
          <w:tcPr>
            <w:tcW w:w="630" w:type="dxa"/>
          </w:tcPr>
          <w:p w14:paraId="43FFC06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5841AD6"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7806562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6245B9B"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BDB14C3"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EB8534E"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2CF0EFD0"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C00747D" w14:textId="77777777" w:rsidR="00571250" w:rsidRPr="00A3194F" w:rsidRDefault="00571250" w:rsidP="00A3194F">
            <w:pPr>
              <w:pStyle w:val="TableTextSmaller"/>
            </w:pPr>
            <w:r>
              <w:t>16</w:t>
            </w:r>
          </w:p>
        </w:tc>
        <w:tc>
          <w:tcPr>
            <w:tcW w:w="3690" w:type="dxa"/>
            <w:noWrap/>
            <w:hideMark/>
          </w:tcPr>
          <w:p w14:paraId="5881A3BF"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Caveats</w:t>
            </w:r>
          </w:p>
        </w:tc>
        <w:tc>
          <w:tcPr>
            <w:tcW w:w="630" w:type="dxa"/>
          </w:tcPr>
          <w:p w14:paraId="0073B16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716A70AC"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B715AAB"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6B00B97"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AB985E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A52FE42"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207B57D2"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22CBD21" w14:textId="77777777" w:rsidR="00571250" w:rsidRPr="00A3194F" w:rsidRDefault="00571250" w:rsidP="00A3194F">
            <w:pPr>
              <w:pStyle w:val="TableTextSmaller"/>
            </w:pPr>
            <w:r>
              <w:t>17</w:t>
            </w:r>
          </w:p>
        </w:tc>
        <w:tc>
          <w:tcPr>
            <w:tcW w:w="3690" w:type="dxa"/>
            <w:noWrap/>
            <w:hideMark/>
          </w:tcPr>
          <w:p w14:paraId="7960682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Children with either missing or invalid age, sex, height, weight, or geography are not included in counts and prevalence estimates.</w:t>
            </w:r>
          </w:p>
        </w:tc>
        <w:tc>
          <w:tcPr>
            <w:tcW w:w="630" w:type="dxa"/>
          </w:tcPr>
          <w:p w14:paraId="0288F08C"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A80E3E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DB31159"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9AD4F4E"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8C86A96"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BADAABA"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833D265"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6E4DA3F" w14:textId="77777777" w:rsidR="00571250" w:rsidRPr="00A3194F" w:rsidRDefault="00571250" w:rsidP="00A3194F">
            <w:pPr>
              <w:pStyle w:val="TableTextSmaller"/>
            </w:pPr>
            <w:r>
              <w:t>18</w:t>
            </w:r>
          </w:p>
        </w:tc>
        <w:tc>
          <w:tcPr>
            <w:tcW w:w="3690" w:type="dxa"/>
            <w:noWrap/>
            <w:hideMark/>
          </w:tcPr>
          <w:p w14:paraId="04957D41"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The method used to calculate the standard errors are documented in the technical documentation.</w:t>
            </w:r>
          </w:p>
        </w:tc>
        <w:tc>
          <w:tcPr>
            <w:tcW w:w="630" w:type="dxa"/>
          </w:tcPr>
          <w:p w14:paraId="75F2DC55"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00FBB227"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2EE2CA7"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633DC23"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E90E502" w14:textId="77777777" w:rsidR="00571250" w:rsidRPr="00050CB1"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7AE63B3" w14:textId="77777777" w:rsidR="00571250" w:rsidRPr="00A3194F" w:rsidRDefault="00571250" w:rsidP="00A3194F">
            <w:pPr>
              <w:pStyle w:val="TableTextSmaller"/>
              <w:cnfStyle w:val="000000000000" w:firstRow="0" w:lastRow="0" w:firstColumn="0" w:lastColumn="0" w:oddVBand="0" w:evenVBand="0" w:oddHBand="0" w:evenHBand="0" w:firstRowFirstColumn="0" w:firstRowLastColumn="0" w:lastRowFirstColumn="0" w:lastRowLastColumn="0"/>
            </w:pPr>
          </w:p>
        </w:tc>
      </w:tr>
      <w:tr w:rsidR="00E25E62" w:rsidRPr="00DD068A" w14:paraId="79089299" w14:textId="77777777" w:rsidTr="001C5159">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71B5D02" w14:textId="77777777" w:rsidR="000E4903" w:rsidRPr="00A3194F" w:rsidRDefault="000E4903" w:rsidP="00A3194F">
            <w:pPr>
              <w:pStyle w:val="TableTextSmaller"/>
            </w:pPr>
            <w:r w:rsidRPr="00A3194F">
              <w:t>19</w:t>
            </w:r>
          </w:p>
        </w:tc>
        <w:tc>
          <w:tcPr>
            <w:tcW w:w="3690" w:type="dxa"/>
            <w:noWrap/>
            <w:hideMark/>
          </w:tcPr>
          <w:p w14:paraId="6FCBFA5A"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r w:rsidRPr="00A3194F">
              <w:t>The population estimates are based on age-race-sex-location specific counts from the 2014-2018 American Community Survey Five-year Estimates released by the Census Bureau on December 19, 2019.</w:t>
            </w:r>
          </w:p>
        </w:tc>
        <w:tc>
          <w:tcPr>
            <w:tcW w:w="630" w:type="dxa"/>
          </w:tcPr>
          <w:p w14:paraId="7F504CCC"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69F22EC"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620B9877"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1E4FA2C"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85E6E3B" w14:textId="77777777" w:rsidR="000E4903" w:rsidRPr="00050CB1"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9B7BE33" w14:textId="77777777" w:rsidR="000E4903" w:rsidRPr="00A3194F" w:rsidRDefault="000E4903" w:rsidP="00A3194F">
            <w:pPr>
              <w:pStyle w:val="TableTextSmaller"/>
              <w:cnfStyle w:val="000000000000" w:firstRow="0" w:lastRow="0" w:firstColumn="0" w:lastColumn="0" w:oddVBand="0" w:evenVBand="0" w:oddHBand="0" w:evenHBand="0" w:firstRowFirstColumn="0" w:firstRowLastColumn="0" w:lastRowFirstColumn="0" w:lastRowLastColumn="0"/>
            </w:pPr>
          </w:p>
        </w:tc>
      </w:tr>
    </w:tbl>
    <w:p w14:paraId="2B7CF6CA" w14:textId="24D5B706" w:rsidR="00C13F41" w:rsidRDefault="0060691F" w:rsidP="00A3194F">
      <w:pPr>
        <w:pStyle w:val="Heading2"/>
      </w:pPr>
      <w:bookmarkStart w:id="50" w:name="_Toc45542332"/>
      <w:bookmarkStart w:id="51" w:name="_Toc45542414"/>
      <w:bookmarkStart w:id="52" w:name="_Toc45542415"/>
      <w:bookmarkStart w:id="53" w:name="_Toc45542416"/>
      <w:bookmarkStart w:id="54" w:name="_Toc46395248"/>
      <w:bookmarkEnd w:id="50"/>
      <w:bookmarkEnd w:id="51"/>
      <w:bookmarkEnd w:id="52"/>
      <w:bookmarkEnd w:id="53"/>
      <w:r>
        <w:lastRenderedPageBreak/>
        <w:t>Error Codes</w:t>
      </w:r>
      <w:bookmarkEnd w:id="54"/>
    </w:p>
    <w:p w14:paraId="1901352C" w14:textId="068606F6" w:rsidR="00FA610D" w:rsidRDefault="00213227" w:rsidP="00FA610D">
      <w:r>
        <w:t>There are several reason</w:t>
      </w:r>
      <w:r w:rsidR="00AB3A28">
        <w:t>s</w:t>
      </w:r>
      <w:r>
        <w:t xml:space="preserve"> the algorithm may fail </w:t>
      </w:r>
      <w:r w:rsidR="00B73CCD">
        <w:t xml:space="preserve">to generate estimates </w:t>
      </w:r>
      <w:r>
        <w:t xml:space="preserve">and produce an error </w:t>
      </w:r>
      <w:r w:rsidR="00FA610D">
        <w:t>code, including</w:t>
      </w:r>
      <w:r>
        <w:t>:</w:t>
      </w:r>
    </w:p>
    <w:p w14:paraId="5E619467" w14:textId="5EC5BE2B" w:rsidR="00FA610D" w:rsidRDefault="00FA610D" w:rsidP="00A3194F">
      <w:pPr>
        <w:pStyle w:val="NumberedList"/>
        <w:numPr>
          <w:ilvl w:val="0"/>
          <w:numId w:val="65"/>
        </w:numPr>
      </w:pPr>
      <w:r>
        <w:t xml:space="preserve">One or more demographic or geographic category has no groups selected. One or more group must be selected in each category. </w:t>
      </w:r>
      <w:r w:rsidR="008B5D48">
        <w:t>E</w:t>
      </w:r>
      <w:r>
        <w:t xml:space="preserve">nsure </w:t>
      </w:r>
      <w:r w:rsidR="008B5D48">
        <w:t xml:space="preserve">that </w:t>
      </w:r>
      <w:r>
        <w:t>each demographic and geographic category has one or more groups selected (e.g.</w:t>
      </w:r>
      <w:r w:rsidR="008B5D48">
        <w:t>,</w:t>
      </w:r>
      <w:r>
        <w:t xml:space="preserve"> age group, select an age range for inclusion). </w:t>
      </w:r>
    </w:p>
    <w:p w14:paraId="60870ED4" w14:textId="01F22DE0" w:rsidR="00FA610D" w:rsidRDefault="00FA610D" w:rsidP="00A3194F">
      <w:pPr>
        <w:pStyle w:val="NumberedList"/>
      </w:pPr>
      <w:r>
        <w:t>Years are out of scope for either IQVIA or CODI</w:t>
      </w:r>
      <w:r w:rsidR="008B5D48">
        <w:t>.</w:t>
      </w:r>
    </w:p>
    <w:p w14:paraId="3850CBEF" w14:textId="77777777" w:rsidR="00FA610D" w:rsidRDefault="00FA610D" w:rsidP="00A3194F">
      <w:pPr>
        <w:pStyle w:val="NumberedList2bulleted"/>
        <w:ind w:left="1080"/>
      </w:pPr>
      <w:r>
        <w:t xml:space="preserve">Acceptable years include 2016, 2017, </w:t>
      </w:r>
      <w:r w:rsidR="000E4903">
        <w:t xml:space="preserve">and </w:t>
      </w:r>
      <w:r>
        <w:t>2018 for IQVIA.</w:t>
      </w:r>
    </w:p>
    <w:p w14:paraId="0EAC5F67" w14:textId="77777777" w:rsidR="00FA610D" w:rsidRDefault="00FA610D" w:rsidP="00A3194F">
      <w:pPr>
        <w:pStyle w:val="NumberedList2bulleted"/>
        <w:ind w:left="1080"/>
      </w:pPr>
      <w:r>
        <w:t xml:space="preserve">Acceptable years include 2016, 2017, 2018, </w:t>
      </w:r>
      <w:r w:rsidR="000E4903">
        <w:t xml:space="preserve">and </w:t>
      </w:r>
      <w:r>
        <w:t>2019 for CODI.</w:t>
      </w:r>
    </w:p>
    <w:p w14:paraId="05D4A227" w14:textId="631D574D" w:rsidR="00FA610D" w:rsidRDefault="00FA610D" w:rsidP="00A3194F">
      <w:pPr>
        <w:pStyle w:val="NumberedList"/>
      </w:pPr>
      <w:r>
        <w:t xml:space="preserve">Geographic level (GEO_GROUP) has been left blank or has been set to an unacceptable value. To remedy </w:t>
      </w:r>
      <w:r w:rsidR="008B5D48">
        <w:t xml:space="preserve">the </w:t>
      </w:r>
      <w:r>
        <w:t xml:space="preserve">issue, update the GEO_GROUP variable to either STATE, </w:t>
      </w:r>
      <w:r w:rsidR="00154ACC">
        <w:t>ZCTA-3</w:t>
      </w:r>
      <w:r>
        <w:t>, or county.</w:t>
      </w:r>
    </w:p>
    <w:p w14:paraId="495D5A54" w14:textId="7B7BE3FE" w:rsidR="00FA610D" w:rsidRDefault="00FA610D" w:rsidP="00A3194F">
      <w:pPr>
        <w:pStyle w:val="NumberedList"/>
      </w:pPr>
      <w:r>
        <w:t xml:space="preserve">State, county, or </w:t>
      </w:r>
      <w:r w:rsidR="00154ACC">
        <w:t>ZCTA-3</w:t>
      </w:r>
      <w:r>
        <w:t xml:space="preserve"> </w:t>
      </w:r>
      <w:r w:rsidR="008B5D48">
        <w:t xml:space="preserve">is </w:t>
      </w:r>
      <w:r>
        <w:t xml:space="preserve">incorrectly specified. </w:t>
      </w:r>
      <w:r w:rsidR="008B5D48">
        <w:t>R</w:t>
      </w:r>
      <w:r>
        <w:t>eview the lists and ensure each value is</w:t>
      </w:r>
      <w:r w:rsidR="008B5D48">
        <w:t>:</w:t>
      </w:r>
    </w:p>
    <w:p w14:paraId="1D5F3025" w14:textId="5AE672CB" w:rsidR="00FA610D" w:rsidRDefault="008B5D48" w:rsidP="00A3194F">
      <w:pPr>
        <w:pStyle w:val="NumberedList2bulleted"/>
        <w:ind w:left="1080"/>
      </w:pPr>
      <w:r>
        <w:t>S</w:t>
      </w:r>
      <w:r w:rsidR="00FA610D">
        <w:t xml:space="preserve">urrounded by quotations, </w:t>
      </w:r>
    </w:p>
    <w:p w14:paraId="67C6B6EF" w14:textId="55CEC8C3" w:rsidR="00FA610D" w:rsidRDefault="008B5D48" w:rsidP="00A3194F">
      <w:pPr>
        <w:pStyle w:val="NumberedList2bulleted"/>
        <w:ind w:left="1080"/>
      </w:pPr>
      <w:r>
        <w:t>C</w:t>
      </w:r>
      <w:r w:rsidR="00FA610D">
        <w:t xml:space="preserve">omma delimited, and/or </w:t>
      </w:r>
    </w:p>
    <w:p w14:paraId="4D64D134" w14:textId="112F1DBD" w:rsidR="00FA610D" w:rsidRDefault="008B5D48" w:rsidP="00A3194F">
      <w:pPr>
        <w:pStyle w:val="NumberedList2bulleted"/>
        <w:ind w:left="1080"/>
      </w:pPr>
      <w:r>
        <w:t>T</w:t>
      </w:r>
      <w:r w:rsidR="00FA610D">
        <w:t>he correct length (e.g.</w:t>
      </w:r>
      <w:r>
        <w:t>,</w:t>
      </w:r>
      <w:r w:rsidR="00FA610D">
        <w:t xml:space="preserve"> “001</w:t>
      </w:r>
      <w:r>
        <w:t>,</w:t>
      </w:r>
      <w:r w:rsidR="00FA610D">
        <w:t>” “002</w:t>
      </w:r>
      <w:r>
        <w:t>,</w:t>
      </w:r>
      <w:r w:rsidR="00FA610D">
        <w:t>” “003”).</w:t>
      </w:r>
    </w:p>
    <w:p w14:paraId="264CC3E3" w14:textId="0C5AFA67" w:rsidR="00FA610D" w:rsidRDefault="00FA610D" w:rsidP="00A3194F">
      <w:pPr>
        <w:pStyle w:val="NumberedList"/>
      </w:pPr>
      <w:r>
        <w:t xml:space="preserve">Current selection criteria return an insufficient number of </w:t>
      </w:r>
      <w:r w:rsidR="00504041">
        <w:t>children and teens</w:t>
      </w:r>
      <w:r>
        <w:t xml:space="preserve"> and do not meet minimum threshold to estimate sample weights. </w:t>
      </w:r>
      <w:r w:rsidR="00442FA6">
        <w:t xml:space="preserve">Ensure that selections are correct (e.g., correct list of state codes, ZCTA-3 values, or county codes) </w:t>
      </w:r>
      <w:r w:rsidR="00442FA6">
        <w:t>or i</w:t>
      </w:r>
      <w:r>
        <w:t xml:space="preserve">nclude additional geographic </w:t>
      </w:r>
      <w:bookmarkStart w:id="55" w:name="_GoBack"/>
      <w:bookmarkEnd w:id="55"/>
      <w:r>
        <w:t>or demographic categories (e.g.</w:t>
      </w:r>
      <w:r w:rsidR="008B5D48">
        <w:t>,</w:t>
      </w:r>
      <w:r>
        <w:t xml:space="preserve"> add additional communities or include additional or all </w:t>
      </w:r>
      <w:r w:rsidR="008B5D48">
        <w:t>r</w:t>
      </w:r>
      <w:r>
        <w:t xml:space="preserve">aces, </w:t>
      </w:r>
      <w:r w:rsidR="008B5D48">
        <w:t>a</w:t>
      </w:r>
      <w:r>
        <w:t xml:space="preserve">ge </w:t>
      </w:r>
      <w:r w:rsidR="008B5D48">
        <w:t>g</w:t>
      </w:r>
      <w:r>
        <w:t xml:space="preserve">roups, </w:t>
      </w:r>
      <w:r w:rsidR="008B5D48">
        <w:t>s</w:t>
      </w:r>
      <w:r w:rsidR="00504041">
        <w:t>ex</w:t>
      </w:r>
      <w:r>
        <w:t xml:space="preserve">, etc.). </w:t>
      </w:r>
    </w:p>
    <w:p w14:paraId="6A03AE09" w14:textId="11CF30C3" w:rsidR="00FA610D" w:rsidRDefault="00827BFE" w:rsidP="00827BFE">
      <w:pPr>
        <w:pStyle w:val="NumberedList"/>
      </w:pPr>
      <w:r w:rsidRPr="00827BFE">
        <w:t>Iterative proportional fitting weighting routine has failed to converge. Please revise selection criteria and rerun algorithm.</w:t>
      </w:r>
      <w:r w:rsidR="00FA610D">
        <w:t xml:space="preserve"> </w:t>
      </w:r>
    </w:p>
    <w:p w14:paraId="2A386F8E" w14:textId="4EBB033F" w:rsidR="00FA610D" w:rsidRDefault="00FA610D" w:rsidP="00A3194F">
      <w:pPr>
        <w:pStyle w:val="NumberedList"/>
      </w:pPr>
      <w:r>
        <w:t>One or more row</w:t>
      </w:r>
      <w:r w:rsidR="008B5D48">
        <w:t>s</w:t>
      </w:r>
      <w:r>
        <w:t xml:space="preserve"> has suppressed results. Totals and </w:t>
      </w:r>
      <w:r w:rsidR="008B5D48">
        <w:t>p</w:t>
      </w:r>
      <w:r>
        <w:t xml:space="preserve">ercentages are not available for all results due to suppression constraints. </w:t>
      </w:r>
    </w:p>
    <w:p w14:paraId="521C5DB9" w14:textId="10A1430A" w:rsidR="005A0EE2" w:rsidRDefault="00FA610D" w:rsidP="00A3194F">
      <w:pPr>
        <w:pStyle w:val="NumberedList"/>
      </w:pPr>
      <w:r>
        <w:t xml:space="preserve">A SAS error has occurred within the algorithm. </w:t>
      </w:r>
      <w:r w:rsidR="008B5D48">
        <w:t>R</w:t>
      </w:r>
      <w:r>
        <w:t xml:space="preserve">eview the SAS log or contact </w:t>
      </w:r>
      <w:r w:rsidR="008B5D48">
        <w:t xml:space="preserve">a </w:t>
      </w:r>
      <w:r>
        <w:t>system administrator for further assistance.</w:t>
      </w:r>
    </w:p>
    <w:p w14:paraId="2ADD25E2" w14:textId="77777777" w:rsidR="00810114" w:rsidRPr="0060691F" w:rsidRDefault="00810114" w:rsidP="00A3194F">
      <w:pPr>
        <w:pStyle w:val="AppHeading1"/>
      </w:pPr>
      <w:bookmarkStart w:id="56" w:name="_ALERT"/>
      <w:bookmarkStart w:id="57" w:name="_ASSET_DELIVERY"/>
      <w:bookmarkStart w:id="58" w:name="_CURRICULUM_COMPONENT"/>
      <w:bookmarkStart w:id="59" w:name="_Toc14964135"/>
      <w:bookmarkStart w:id="60" w:name="_FAMILY_HISTORY"/>
      <w:bookmarkStart w:id="61" w:name="_Toc45542419"/>
      <w:bookmarkStart w:id="62" w:name="_Toc45542420"/>
      <w:bookmarkStart w:id="63" w:name="_Toc45542421"/>
      <w:bookmarkStart w:id="64" w:name="_Toc45542422"/>
      <w:bookmarkStart w:id="65" w:name="_Toc45542423"/>
      <w:bookmarkStart w:id="66" w:name="_Toc45542424"/>
      <w:bookmarkStart w:id="67" w:name="_Toc45542425"/>
      <w:bookmarkStart w:id="68" w:name="_Toc45542426"/>
      <w:bookmarkStart w:id="69" w:name="_Toc45542433"/>
      <w:bookmarkStart w:id="70" w:name="_Toc45542434"/>
      <w:bookmarkStart w:id="71" w:name="_Toc45542435"/>
      <w:bookmarkStart w:id="72" w:name="_Toc45542436"/>
      <w:bookmarkStart w:id="73" w:name="_Toc45542437"/>
      <w:bookmarkStart w:id="74" w:name="_Toc45542438"/>
      <w:bookmarkStart w:id="75" w:name="_Toc45542439"/>
      <w:bookmarkStart w:id="76" w:name="_Toc45542440"/>
      <w:bookmarkStart w:id="77" w:name="_Toc45542441"/>
      <w:bookmarkStart w:id="78" w:name="_Toc45542442"/>
      <w:bookmarkStart w:id="79" w:name="_Toc45542443"/>
      <w:bookmarkStart w:id="80" w:name="_Toc45542444"/>
      <w:bookmarkStart w:id="81" w:name="_Toc45542445"/>
      <w:bookmarkStart w:id="82" w:name="_Toc45542446"/>
      <w:bookmarkStart w:id="83" w:name="_Toc45542447"/>
      <w:bookmarkStart w:id="84" w:name="_Toc45542448"/>
      <w:bookmarkStart w:id="85" w:name="_Toc45542449"/>
      <w:bookmarkStart w:id="86" w:name="_Toc45542450"/>
      <w:bookmarkStart w:id="87" w:name="_Toc45542451"/>
      <w:bookmarkStart w:id="88" w:name="_Toc45542452"/>
      <w:bookmarkStart w:id="89" w:name="_Toc45542453"/>
      <w:bookmarkStart w:id="90" w:name="_Toc45542454"/>
      <w:bookmarkStart w:id="91" w:name="_Toc46395249"/>
      <w:bookmarkStart w:id="92" w:name="_Toc510936889"/>
      <w:bookmarkEnd w:id="9"/>
      <w:bookmarkEnd w:id="10"/>
      <w:bookmarkEnd w:id="11"/>
      <w:bookmarkEnd w:id="12"/>
      <w:bookmarkEnd w:id="1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60691F">
        <w:lastRenderedPageBreak/>
        <w:t>Methodology Notes</w:t>
      </w:r>
      <w:bookmarkEnd w:id="91"/>
    </w:p>
    <w:p w14:paraId="6FED86BD" w14:textId="77777777" w:rsidR="00BE4474" w:rsidRPr="007F4DD0" w:rsidRDefault="00BE4474" w:rsidP="00A3194F">
      <w:pPr>
        <w:pStyle w:val="AppHeading2"/>
      </w:pPr>
      <w:bookmarkStart w:id="93" w:name="_Toc46395250"/>
      <w:r>
        <w:t>Acronyms</w:t>
      </w:r>
      <w:bookmarkEnd w:id="93"/>
    </w:p>
    <w:tbl>
      <w:tblPr>
        <w:tblW w:w="9360" w:type="dxa"/>
        <w:tblLayout w:type="fixed"/>
        <w:tblLook w:val="0000" w:firstRow="0" w:lastRow="0" w:firstColumn="0" w:lastColumn="0" w:noHBand="0" w:noVBand="0"/>
        <w:tblCaption w:val="Two Column Acronym Table"/>
        <w:tblDescription w:val="Lists the term and the definition."/>
      </w:tblPr>
      <w:tblGrid>
        <w:gridCol w:w="1890"/>
        <w:gridCol w:w="7470"/>
      </w:tblGrid>
      <w:tr w:rsidR="000E4903" w:rsidRPr="007F4DD0" w14:paraId="4E5A4A20" w14:textId="77777777" w:rsidTr="00C73E86">
        <w:trPr>
          <w:trHeight w:val="261"/>
        </w:trPr>
        <w:tc>
          <w:tcPr>
            <w:tcW w:w="1890" w:type="dxa"/>
          </w:tcPr>
          <w:p w14:paraId="0656FC39" w14:textId="77777777" w:rsidR="000E4903" w:rsidRPr="00A3194F" w:rsidRDefault="000E4903" w:rsidP="00AD7ADE">
            <w:pPr>
              <w:rPr>
                <w:b/>
                <w:color w:val="FFFFFF" w:themeColor="background1"/>
              </w:rPr>
            </w:pPr>
            <w:r>
              <w:rPr>
                <w:b/>
                <w:color w:val="FFFFFF" w:themeColor="background1"/>
              </w:rPr>
              <w:t>Term</w:t>
            </w:r>
          </w:p>
        </w:tc>
        <w:tc>
          <w:tcPr>
            <w:tcW w:w="7470" w:type="dxa"/>
          </w:tcPr>
          <w:p w14:paraId="5216C397" w14:textId="77777777" w:rsidR="000E4903" w:rsidRPr="00A3194F" w:rsidRDefault="000E4903" w:rsidP="00AD7ADE">
            <w:pPr>
              <w:rPr>
                <w:color w:val="FFFFFF" w:themeColor="background1"/>
              </w:rPr>
            </w:pPr>
            <w:r w:rsidRPr="00A3194F">
              <w:rPr>
                <w:color w:val="FFFFFF" w:themeColor="background1"/>
              </w:rPr>
              <w:t>Description</w:t>
            </w:r>
          </w:p>
        </w:tc>
      </w:tr>
      <w:tr w:rsidR="00B24A98" w:rsidRPr="007F4DD0" w14:paraId="1C6F2ECD" w14:textId="77777777" w:rsidTr="00A3194F">
        <w:trPr>
          <w:trHeight w:val="261"/>
        </w:trPr>
        <w:tc>
          <w:tcPr>
            <w:tcW w:w="1890" w:type="dxa"/>
          </w:tcPr>
          <w:p w14:paraId="609A6D04" w14:textId="39087BA3" w:rsidR="00B24A98" w:rsidRDefault="00B24A98" w:rsidP="00AD7ADE">
            <w:pPr>
              <w:rPr>
                <w:b/>
              </w:rPr>
            </w:pPr>
            <w:r>
              <w:rPr>
                <w:b/>
              </w:rPr>
              <w:t>ACS</w:t>
            </w:r>
          </w:p>
        </w:tc>
        <w:tc>
          <w:tcPr>
            <w:tcW w:w="7470" w:type="dxa"/>
          </w:tcPr>
          <w:p w14:paraId="1F550A0C" w14:textId="5822B0C2" w:rsidR="00B24A98" w:rsidRDefault="00B24A98" w:rsidP="00AD7ADE">
            <w:r>
              <w:t>American Community Survey</w:t>
            </w:r>
          </w:p>
        </w:tc>
      </w:tr>
      <w:tr w:rsidR="00BE4474" w:rsidRPr="007F4DD0" w14:paraId="4E5E3F99" w14:textId="77777777" w:rsidTr="00A3194F">
        <w:trPr>
          <w:trHeight w:val="261"/>
        </w:trPr>
        <w:tc>
          <w:tcPr>
            <w:tcW w:w="1890" w:type="dxa"/>
          </w:tcPr>
          <w:p w14:paraId="78DA9865" w14:textId="77777777" w:rsidR="00BE4474" w:rsidRPr="007F4DD0" w:rsidRDefault="00BE4474" w:rsidP="00AD7ADE">
            <w:pPr>
              <w:rPr>
                <w:b/>
              </w:rPr>
            </w:pPr>
            <w:r>
              <w:rPr>
                <w:b/>
              </w:rPr>
              <w:t>BMI</w:t>
            </w:r>
          </w:p>
        </w:tc>
        <w:tc>
          <w:tcPr>
            <w:tcW w:w="7470" w:type="dxa"/>
          </w:tcPr>
          <w:p w14:paraId="751554AC" w14:textId="77777777" w:rsidR="00BE4474" w:rsidRPr="007F4DD0" w:rsidRDefault="00BE4474" w:rsidP="00AD7ADE">
            <w:r>
              <w:t>B</w:t>
            </w:r>
            <w:r w:rsidRPr="0072595C">
              <w:t xml:space="preserve">ody </w:t>
            </w:r>
            <w:r>
              <w:t>M</w:t>
            </w:r>
            <w:r w:rsidRPr="0072595C">
              <w:t xml:space="preserve">ass </w:t>
            </w:r>
            <w:r>
              <w:t>I</w:t>
            </w:r>
            <w:r w:rsidRPr="0072595C">
              <w:t>ndex</w:t>
            </w:r>
          </w:p>
        </w:tc>
      </w:tr>
      <w:tr w:rsidR="00BE4474" w:rsidRPr="007F4DD0" w14:paraId="5D963CEB" w14:textId="77777777" w:rsidTr="00AD7ADE">
        <w:tc>
          <w:tcPr>
            <w:tcW w:w="1890" w:type="dxa"/>
          </w:tcPr>
          <w:p w14:paraId="10BAA6D4" w14:textId="77777777" w:rsidR="00BE4474" w:rsidRPr="007F4DD0" w:rsidRDefault="00BE4474" w:rsidP="00AD7ADE">
            <w:pPr>
              <w:rPr>
                <w:b/>
              </w:rPr>
            </w:pPr>
            <w:r w:rsidRPr="007F4DD0">
              <w:rPr>
                <w:b/>
              </w:rPr>
              <w:t>C</w:t>
            </w:r>
            <w:r>
              <w:rPr>
                <w:b/>
              </w:rPr>
              <w:t>DC</w:t>
            </w:r>
          </w:p>
        </w:tc>
        <w:tc>
          <w:tcPr>
            <w:tcW w:w="7470" w:type="dxa"/>
          </w:tcPr>
          <w:p w14:paraId="639EC91D" w14:textId="77777777" w:rsidR="00BE4474" w:rsidRPr="007F4DD0" w:rsidRDefault="00BE4474" w:rsidP="00AD7ADE">
            <w:r>
              <w:t>Centers for Disease Control and Prevention</w:t>
            </w:r>
          </w:p>
        </w:tc>
      </w:tr>
      <w:tr w:rsidR="00BE4474" w:rsidRPr="007F4DD0" w14:paraId="355BFC0D" w14:textId="77777777" w:rsidTr="00AD7ADE">
        <w:tc>
          <w:tcPr>
            <w:tcW w:w="1890" w:type="dxa"/>
          </w:tcPr>
          <w:p w14:paraId="7EBD6560" w14:textId="77777777" w:rsidR="00BE4474" w:rsidRPr="007F4DD0" w:rsidRDefault="00BE4474" w:rsidP="00AD7ADE">
            <w:pPr>
              <w:rPr>
                <w:b/>
              </w:rPr>
            </w:pPr>
            <w:r>
              <w:rPr>
                <w:b/>
              </w:rPr>
              <w:t>CODI</w:t>
            </w:r>
          </w:p>
        </w:tc>
        <w:tc>
          <w:tcPr>
            <w:tcW w:w="7470" w:type="dxa"/>
          </w:tcPr>
          <w:p w14:paraId="42E70FF5" w14:textId="77777777" w:rsidR="00BE4474" w:rsidRPr="007F4DD0" w:rsidRDefault="00BE4474" w:rsidP="00AD7ADE">
            <w:r w:rsidRPr="0072595C">
              <w:t>Childhood Obesity Data Initiative</w:t>
            </w:r>
          </w:p>
        </w:tc>
      </w:tr>
      <w:tr w:rsidR="00BE4474" w:rsidRPr="007F4DD0" w14:paraId="380179BB" w14:textId="77777777" w:rsidTr="00AD7ADE">
        <w:tc>
          <w:tcPr>
            <w:tcW w:w="1890" w:type="dxa"/>
          </w:tcPr>
          <w:p w14:paraId="24E15498" w14:textId="77777777" w:rsidR="00BE4474" w:rsidRDefault="00BE4474" w:rsidP="00AD7ADE">
            <w:pPr>
              <w:rPr>
                <w:b/>
              </w:rPr>
            </w:pPr>
            <w:r>
              <w:rPr>
                <w:b/>
              </w:rPr>
              <w:t>CODI-PQ</w:t>
            </w:r>
          </w:p>
        </w:tc>
        <w:tc>
          <w:tcPr>
            <w:tcW w:w="7470" w:type="dxa"/>
          </w:tcPr>
          <w:p w14:paraId="737704D6" w14:textId="77777777" w:rsidR="00BE4474" w:rsidRDefault="00BE4474" w:rsidP="00AD7ADE">
            <w:r>
              <w:t>Childhood Obesity Data Initiative Prevalence Query</w:t>
            </w:r>
          </w:p>
        </w:tc>
      </w:tr>
      <w:tr w:rsidR="00BE4474" w:rsidRPr="007F4DD0" w14:paraId="43B8D847" w14:textId="77777777" w:rsidTr="00AD7ADE">
        <w:tc>
          <w:tcPr>
            <w:tcW w:w="1890" w:type="dxa"/>
          </w:tcPr>
          <w:p w14:paraId="2BA7DBAB" w14:textId="77777777" w:rsidR="00BE4474" w:rsidRDefault="00BE4474" w:rsidP="00AD7ADE">
            <w:pPr>
              <w:rPr>
                <w:b/>
              </w:rPr>
            </w:pPr>
            <w:r>
              <w:rPr>
                <w:b/>
              </w:rPr>
              <w:t>CSV</w:t>
            </w:r>
          </w:p>
        </w:tc>
        <w:tc>
          <w:tcPr>
            <w:tcW w:w="7470" w:type="dxa"/>
          </w:tcPr>
          <w:p w14:paraId="61A2F5B4" w14:textId="07791EF5" w:rsidR="00BE4474" w:rsidRPr="0072595C" w:rsidRDefault="00BE4474" w:rsidP="00AD7ADE">
            <w:r>
              <w:t>Comma Separated Value</w:t>
            </w:r>
          </w:p>
        </w:tc>
      </w:tr>
      <w:tr w:rsidR="008F0924" w:rsidRPr="007F4DD0" w14:paraId="065B57DC" w14:textId="77777777" w:rsidTr="00AD7ADE">
        <w:tc>
          <w:tcPr>
            <w:tcW w:w="1890" w:type="dxa"/>
          </w:tcPr>
          <w:p w14:paraId="3E8B7A1A" w14:textId="4F4FACE7" w:rsidR="008F0924" w:rsidRDefault="008F0924" w:rsidP="00AD7ADE">
            <w:pPr>
              <w:rPr>
                <w:b/>
              </w:rPr>
            </w:pPr>
            <w:r>
              <w:rPr>
                <w:b/>
              </w:rPr>
              <w:t>DHDN</w:t>
            </w:r>
          </w:p>
        </w:tc>
        <w:tc>
          <w:tcPr>
            <w:tcW w:w="7470" w:type="dxa"/>
          </w:tcPr>
          <w:p w14:paraId="07D80C45" w14:textId="2CA11A48" w:rsidR="008F0924" w:rsidRDefault="008F0924" w:rsidP="00AD7ADE">
            <w:r>
              <w:rPr>
                <w:rFonts w:eastAsia="Verdana"/>
              </w:rPr>
              <w:t>Distributed Health Data Network</w:t>
            </w:r>
          </w:p>
        </w:tc>
      </w:tr>
      <w:tr w:rsidR="00BE4474" w:rsidRPr="007F4DD0" w14:paraId="715163B3" w14:textId="77777777" w:rsidTr="00AD7ADE">
        <w:tc>
          <w:tcPr>
            <w:tcW w:w="1890" w:type="dxa"/>
          </w:tcPr>
          <w:p w14:paraId="254DE620" w14:textId="77777777" w:rsidR="00BE4474" w:rsidRDefault="00BE4474" w:rsidP="00AD7ADE">
            <w:pPr>
              <w:rPr>
                <w:b/>
              </w:rPr>
            </w:pPr>
            <w:r>
              <w:rPr>
                <w:b/>
              </w:rPr>
              <w:t>EHR</w:t>
            </w:r>
          </w:p>
        </w:tc>
        <w:tc>
          <w:tcPr>
            <w:tcW w:w="7470" w:type="dxa"/>
          </w:tcPr>
          <w:p w14:paraId="3882144B" w14:textId="77777777" w:rsidR="00BE4474" w:rsidRPr="007F4DD0" w:rsidRDefault="00BE4474" w:rsidP="00AD7ADE">
            <w:r>
              <w:t>E</w:t>
            </w:r>
            <w:r w:rsidRPr="00DB3A62">
              <w:t xml:space="preserve">lectronic </w:t>
            </w:r>
            <w:r>
              <w:t>H</w:t>
            </w:r>
            <w:r w:rsidRPr="00DB3A62">
              <w:t xml:space="preserve">ealth </w:t>
            </w:r>
            <w:r>
              <w:t>R</w:t>
            </w:r>
            <w:r w:rsidRPr="00DB3A62">
              <w:t>ecord</w:t>
            </w:r>
          </w:p>
        </w:tc>
      </w:tr>
      <w:tr w:rsidR="00BE4474" w:rsidRPr="007F4DD0" w14:paraId="325A1A38" w14:textId="77777777" w:rsidTr="00AD7ADE">
        <w:tc>
          <w:tcPr>
            <w:tcW w:w="1890" w:type="dxa"/>
          </w:tcPr>
          <w:p w14:paraId="5A6ABDCA" w14:textId="77777777" w:rsidR="00BE4474" w:rsidRPr="007F4DD0" w:rsidRDefault="00BE4474" w:rsidP="00AD7ADE">
            <w:pPr>
              <w:rPr>
                <w:b/>
              </w:rPr>
            </w:pPr>
            <w:r>
              <w:rPr>
                <w:b/>
              </w:rPr>
              <w:t>EMR</w:t>
            </w:r>
          </w:p>
        </w:tc>
        <w:tc>
          <w:tcPr>
            <w:tcW w:w="7470" w:type="dxa"/>
          </w:tcPr>
          <w:p w14:paraId="4BFFE0A6" w14:textId="77777777" w:rsidR="00BE4474" w:rsidRPr="007F4DD0" w:rsidRDefault="00BE4474" w:rsidP="00AD7ADE">
            <w:r>
              <w:t>Electronic Medical Record</w:t>
            </w:r>
          </w:p>
        </w:tc>
      </w:tr>
      <w:tr w:rsidR="00BE4474" w:rsidRPr="007F4DD0" w14:paraId="0227F688" w14:textId="77777777" w:rsidTr="00AD7ADE">
        <w:tc>
          <w:tcPr>
            <w:tcW w:w="1890" w:type="dxa"/>
          </w:tcPr>
          <w:p w14:paraId="45ACAEFC" w14:textId="77777777" w:rsidR="00BE4474" w:rsidRPr="007F4DD0" w:rsidRDefault="00BE4474" w:rsidP="00AD7ADE">
            <w:pPr>
              <w:rPr>
                <w:b/>
              </w:rPr>
            </w:pPr>
            <w:r w:rsidRPr="007F4DD0">
              <w:rPr>
                <w:b/>
              </w:rPr>
              <w:t>FFRDC</w:t>
            </w:r>
          </w:p>
        </w:tc>
        <w:tc>
          <w:tcPr>
            <w:tcW w:w="7470" w:type="dxa"/>
          </w:tcPr>
          <w:p w14:paraId="0CC1CED2" w14:textId="77777777" w:rsidR="00BE4474" w:rsidRPr="007F4DD0" w:rsidRDefault="00BE4474" w:rsidP="00AD7ADE">
            <w:r w:rsidRPr="007F4DD0">
              <w:t>Federally Funded Research and Development Center</w:t>
            </w:r>
          </w:p>
        </w:tc>
      </w:tr>
      <w:tr w:rsidR="00BE4474" w:rsidRPr="007F4DD0" w14:paraId="582B7D04" w14:textId="77777777" w:rsidTr="00AD7ADE">
        <w:trPr>
          <w:trHeight w:val="323"/>
        </w:trPr>
        <w:tc>
          <w:tcPr>
            <w:tcW w:w="1890" w:type="dxa"/>
          </w:tcPr>
          <w:p w14:paraId="52296146" w14:textId="77777777" w:rsidR="00BE4474" w:rsidRDefault="00BE4474" w:rsidP="00AD7ADE">
            <w:pPr>
              <w:rPr>
                <w:b/>
              </w:rPr>
            </w:pPr>
            <w:r>
              <w:rPr>
                <w:b/>
              </w:rPr>
              <w:t>IQVIA</w:t>
            </w:r>
          </w:p>
        </w:tc>
        <w:tc>
          <w:tcPr>
            <w:tcW w:w="7470" w:type="dxa"/>
          </w:tcPr>
          <w:p w14:paraId="1885982C" w14:textId="0DFA9E95" w:rsidR="00BE4474" w:rsidRDefault="00BE4474" w:rsidP="00AD7ADE">
            <w:r w:rsidRPr="00BE4474">
              <w:t>IQVIA</w:t>
            </w:r>
            <w:r w:rsidR="000D13FC">
              <w:t>’</w:t>
            </w:r>
            <w:r w:rsidRPr="00BE4474">
              <w:t>s Ambulatory EMR (AEMR)</w:t>
            </w:r>
          </w:p>
        </w:tc>
      </w:tr>
      <w:tr w:rsidR="00693B03" w:rsidRPr="007F4DD0" w14:paraId="25FFFBFF" w14:textId="77777777" w:rsidTr="00AD7ADE">
        <w:trPr>
          <w:trHeight w:val="323"/>
        </w:trPr>
        <w:tc>
          <w:tcPr>
            <w:tcW w:w="1890" w:type="dxa"/>
          </w:tcPr>
          <w:p w14:paraId="1F81F93C" w14:textId="49D60AA6" w:rsidR="00693B03" w:rsidRDefault="00693B03" w:rsidP="00AD7ADE">
            <w:pPr>
              <w:rPr>
                <w:b/>
              </w:rPr>
            </w:pPr>
            <w:r>
              <w:rPr>
                <w:b/>
              </w:rPr>
              <w:t>MSE</w:t>
            </w:r>
          </w:p>
        </w:tc>
        <w:tc>
          <w:tcPr>
            <w:tcW w:w="7470" w:type="dxa"/>
          </w:tcPr>
          <w:p w14:paraId="58433974" w14:textId="51F90C5B" w:rsidR="00693B03" w:rsidRPr="00BE4474" w:rsidRDefault="00693B03" w:rsidP="00AD7ADE">
            <w:r>
              <w:t>Mean Square Error</w:t>
            </w:r>
          </w:p>
        </w:tc>
      </w:tr>
      <w:tr w:rsidR="00276FBE" w:rsidRPr="007F4DD0" w14:paraId="5C88FE1D" w14:textId="77777777" w:rsidTr="00AD7ADE">
        <w:trPr>
          <w:trHeight w:val="323"/>
        </w:trPr>
        <w:tc>
          <w:tcPr>
            <w:tcW w:w="1890" w:type="dxa"/>
          </w:tcPr>
          <w:p w14:paraId="7C5110CD" w14:textId="251DD574" w:rsidR="00276FBE" w:rsidRDefault="00276FBE" w:rsidP="00AD7ADE">
            <w:pPr>
              <w:rPr>
                <w:b/>
              </w:rPr>
            </w:pPr>
            <w:r>
              <w:rPr>
                <w:b/>
              </w:rPr>
              <w:t>NCHS</w:t>
            </w:r>
          </w:p>
        </w:tc>
        <w:tc>
          <w:tcPr>
            <w:tcW w:w="7470" w:type="dxa"/>
          </w:tcPr>
          <w:p w14:paraId="4CFE8D8B" w14:textId="5F9B8004" w:rsidR="00276FBE" w:rsidRPr="00F06898" w:rsidRDefault="00276FBE">
            <w:r>
              <w:t>National Center for Health Statistics</w:t>
            </w:r>
          </w:p>
        </w:tc>
      </w:tr>
      <w:tr w:rsidR="00AD7ADE" w:rsidRPr="007F4DD0" w14:paraId="545A0B77" w14:textId="77777777" w:rsidTr="00AD7ADE">
        <w:trPr>
          <w:trHeight w:val="323"/>
        </w:trPr>
        <w:tc>
          <w:tcPr>
            <w:tcW w:w="1890" w:type="dxa"/>
          </w:tcPr>
          <w:p w14:paraId="1767E2AA" w14:textId="77777777" w:rsidR="00AD7ADE" w:rsidRDefault="00AD7ADE" w:rsidP="00AD7ADE">
            <w:pPr>
              <w:rPr>
                <w:b/>
              </w:rPr>
            </w:pPr>
            <w:r>
              <w:rPr>
                <w:b/>
              </w:rPr>
              <w:t>NHANES</w:t>
            </w:r>
          </w:p>
        </w:tc>
        <w:tc>
          <w:tcPr>
            <w:tcW w:w="7470" w:type="dxa"/>
          </w:tcPr>
          <w:p w14:paraId="076F4FEE" w14:textId="77777777" w:rsidR="00AD7ADE" w:rsidRDefault="00AD7ADE">
            <w:r w:rsidRPr="00F06898">
              <w:t>National Health and Nutrition Examination Survey</w:t>
            </w:r>
          </w:p>
        </w:tc>
      </w:tr>
      <w:tr w:rsidR="00FF03CA" w:rsidRPr="007F4DD0" w14:paraId="69172297" w14:textId="77777777" w:rsidTr="00AD7ADE">
        <w:trPr>
          <w:trHeight w:val="323"/>
        </w:trPr>
        <w:tc>
          <w:tcPr>
            <w:tcW w:w="1890" w:type="dxa"/>
          </w:tcPr>
          <w:p w14:paraId="2858837D" w14:textId="27B15D0A" w:rsidR="00FF03CA" w:rsidRDefault="00FF03CA" w:rsidP="00AD7ADE">
            <w:pPr>
              <w:rPr>
                <w:b/>
              </w:rPr>
            </w:pPr>
            <w:r>
              <w:rPr>
                <w:b/>
              </w:rPr>
              <w:t>PUF</w:t>
            </w:r>
          </w:p>
        </w:tc>
        <w:tc>
          <w:tcPr>
            <w:tcW w:w="7470" w:type="dxa"/>
          </w:tcPr>
          <w:p w14:paraId="66B92D99" w14:textId="5CB18AF6" w:rsidR="00FF03CA" w:rsidRDefault="00FF03CA" w:rsidP="00AD7ADE">
            <w:r>
              <w:t>Public Use File</w:t>
            </w:r>
          </w:p>
        </w:tc>
      </w:tr>
      <w:tr w:rsidR="00BE4474" w:rsidRPr="007F4DD0" w14:paraId="67A78A75" w14:textId="77777777" w:rsidTr="00AD7ADE">
        <w:trPr>
          <w:trHeight w:val="323"/>
        </w:trPr>
        <w:tc>
          <w:tcPr>
            <w:tcW w:w="1890" w:type="dxa"/>
          </w:tcPr>
          <w:p w14:paraId="4966EE80" w14:textId="77777777" w:rsidR="00BE4474" w:rsidRDefault="00BE4474" w:rsidP="00AD7ADE">
            <w:pPr>
              <w:rPr>
                <w:b/>
              </w:rPr>
            </w:pPr>
            <w:r>
              <w:rPr>
                <w:b/>
              </w:rPr>
              <w:t>SDOH</w:t>
            </w:r>
          </w:p>
        </w:tc>
        <w:tc>
          <w:tcPr>
            <w:tcW w:w="7470" w:type="dxa"/>
          </w:tcPr>
          <w:p w14:paraId="0CD87906" w14:textId="77777777" w:rsidR="00BE4474" w:rsidRDefault="00BE4474" w:rsidP="00AD7ADE">
            <w:r>
              <w:t>Social Determinants of Health</w:t>
            </w:r>
          </w:p>
        </w:tc>
      </w:tr>
    </w:tbl>
    <w:p w14:paraId="21779BF3" w14:textId="77D29D4F" w:rsidR="00810114" w:rsidRPr="008F6040" w:rsidRDefault="00810114" w:rsidP="00A3194F">
      <w:pPr>
        <w:pStyle w:val="AppHeading2"/>
      </w:pPr>
      <w:bookmarkStart w:id="94" w:name="_Toc46395251"/>
      <w:r>
        <w:t xml:space="preserve">Age </w:t>
      </w:r>
      <w:r w:rsidR="00F55A70">
        <w:t>A</w:t>
      </w:r>
      <w:r w:rsidRPr="008F6040">
        <w:t>djustment</w:t>
      </w:r>
      <w:bookmarkEnd w:id="94"/>
    </w:p>
    <w:p w14:paraId="04A66CE8" w14:textId="208F0C7A" w:rsidR="00810114" w:rsidRDefault="00810114" w:rsidP="00A3194F">
      <w:pPr>
        <w:spacing w:after="240"/>
      </w:pPr>
      <w:r>
        <w:t xml:space="preserve">Data </w:t>
      </w:r>
      <w:r w:rsidR="008B5D48">
        <w:t xml:space="preserve">is </w:t>
      </w:r>
      <w:r>
        <w:t xml:space="preserve">age-adjusted </w:t>
      </w:r>
      <w:r w:rsidRPr="008F6040">
        <w:t xml:space="preserve">in order to eliminate differences in observed estimates that result from differences in the age distribution of the population among </w:t>
      </w:r>
      <w:r>
        <w:t xml:space="preserve">geographies. </w:t>
      </w:r>
      <w:r w:rsidRPr="008F6040">
        <w:t xml:space="preserve">The projected 2000 U.S. population was used as the standard population </w:t>
      </w:r>
      <w:r w:rsidR="00824883" w:rsidRPr="008F6040">
        <w:t>(</w:t>
      </w:r>
      <w:r w:rsidR="00824883">
        <w:t>Klein &amp; Schoenborn</w:t>
      </w:r>
      <w:r w:rsidR="007D5F24">
        <w:t>,</w:t>
      </w:r>
      <w:r w:rsidR="00824883">
        <w:t xml:space="preserve"> 2001</w:t>
      </w:r>
      <w:r w:rsidR="00824883" w:rsidRPr="008F6040">
        <w:t>)</w:t>
      </w:r>
      <w:r w:rsidR="008B5D48">
        <w:t>.</w:t>
      </w:r>
      <w:r w:rsidRPr="008F6040">
        <w:t xml:space="preserve"> The specific age groups used for age adjustment are </w:t>
      </w:r>
      <w:r>
        <w:t>2 to 4 years, 5 to 14 years, and 15 to 19 years.</w:t>
      </w:r>
      <w:r w:rsidR="00BB361F">
        <w:t xml:space="preserve"> Age adjusted values may be similar to the weighted values since age is used within the weighting algorithm.</w:t>
      </w:r>
    </w:p>
    <w:p w14:paraId="280FC3DA" w14:textId="77777777" w:rsidR="00810114" w:rsidRDefault="00810114" w:rsidP="00A3194F">
      <w:pPr>
        <w:spacing w:after="240"/>
      </w:pPr>
      <w:r>
        <w:t xml:space="preserve">Age adjustment, using the direct method, is the application of age-specific rates in a population of interest to a standardized age distribution in order to eliminate differences in observed rates </w:t>
      </w:r>
      <w:r>
        <w:lastRenderedPageBreak/>
        <w:t>that result from age differences in population composition. This adjustment is usually done when comparing two or more populations at one point in time or one population at two or more points in time.</w:t>
      </w:r>
    </w:p>
    <w:p w14:paraId="7FD94DDF" w14:textId="77777777" w:rsidR="00810114" w:rsidRDefault="00810114" w:rsidP="00A3194F">
      <w:pPr>
        <w:spacing w:after="240"/>
      </w:pPr>
      <w:r>
        <w:t>Age-adjusted proportions are calculated by the direct method as follows:</w:t>
      </w:r>
    </w:p>
    <w:p w14:paraId="4E8D4F62" w14:textId="77777777" w:rsidR="00810114" w:rsidRDefault="00827BFE" w:rsidP="00810114">
      <m:oMathPara>
        <m:oMath>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nary>
        </m:oMath>
      </m:oMathPara>
    </w:p>
    <w:p w14:paraId="7D69B952" w14:textId="2ADE6FC6" w:rsidR="00810114" w:rsidRPr="001C5159" w:rsidRDefault="00810114" w:rsidP="00810114">
      <w:pPr>
        <w:rPr>
          <w:iCs/>
        </w:rPr>
      </w:pPr>
      <w:r>
        <w:t>where m</w:t>
      </w:r>
      <w:r w:rsidRPr="00EA162B">
        <w:rPr>
          <w:vertAlign w:val="subscript"/>
        </w:rPr>
        <w:t>i</w:t>
      </w:r>
      <w:r>
        <w:t xml:space="preserve"> = measure of the proportion in age group </w:t>
      </w:r>
      <w:r w:rsidRPr="00EA162B">
        <w:rPr>
          <w:i/>
        </w:rPr>
        <w:t>i</w:t>
      </w:r>
      <w:r>
        <w:t xml:space="preserve"> in the population of interest</w:t>
      </w:r>
      <w:r w:rsidR="00D95F38">
        <w:t xml:space="preserve">, </w:t>
      </w:r>
      <w:r w:rsidR="00442B92">
        <w:t>p</w:t>
      </w:r>
      <w:r w:rsidR="00442B92" w:rsidRPr="00EA162B">
        <w:rPr>
          <w:vertAlign w:val="subscript"/>
        </w:rPr>
        <w:t>i</w:t>
      </w:r>
      <w:r w:rsidR="00442B92">
        <w:rPr>
          <w:vertAlign w:val="subscript"/>
        </w:rPr>
        <w:t xml:space="preserve"> </w:t>
      </w:r>
      <w:r>
        <w:t xml:space="preserve">= standard population in age group </w:t>
      </w:r>
      <w:r>
        <w:rPr>
          <w:i/>
        </w:rPr>
        <w:t>i</w:t>
      </w:r>
      <w:r w:rsidR="00D95F38">
        <w:rPr>
          <w:iCs/>
        </w:rPr>
        <w:t>, and</w:t>
      </w:r>
    </w:p>
    <w:p w14:paraId="5BF77A32" w14:textId="77777777" w:rsidR="00810114" w:rsidRPr="001848FA" w:rsidRDefault="00810114" w:rsidP="00810114">
      <w:pPr>
        <w:rPr>
          <w:i/>
        </w:rPr>
      </w:pPr>
      <m:oMathPara>
        <m:oMath>
          <m:r>
            <m:rPr>
              <m:sty m:val="p"/>
            </m:rPr>
            <w:rPr>
              <w:rFonts w:ascii="Cambria Math" w:hAnsi="Cambria Math"/>
              <w:szCs w:val="28"/>
            </w:rPr>
            <m:t>P</m:t>
          </m:r>
          <m:r>
            <w:rPr>
              <w:rFonts w:ascii="Cambria Math" w:eastAsia="Cambria Math" w:hAnsi="Cambria Math" w:cs="Cambria Math"/>
              <w:szCs w:val="28"/>
            </w:rPr>
            <m:t>=</m:t>
          </m:r>
          <m:nary>
            <m:naryPr>
              <m:chr m:val="∑"/>
              <m:grow m:val="1"/>
              <m:ctrlPr>
                <w:rPr>
                  <w:rFonts w:ascii="Cambria Math" w:hAnsi="Cambria Math"/>
                  <w:szCs w:val="28"/>
                </w:rPr>
              </m:ctrlPr>
            </m:naryPr>
            <m:sub>
              <m:r>
                <w:rPr>
                  <w:rFonts w:ascii="Cambria Math" w:eastAsia="Cambria Math" w:hAnsi="Cambria Math" w:cs="Cambria Math"/>
                  <w:szCs w:val="28"/>
                </w:rPr>
                <m:t>i=1</m:t>
              </m:r>
            </m:sub>
            <m:sup>
              <m:r>
                <w:rPr>
                  <w:rFonts w:ascii="Cambria Math" w:eastAsia="Cambria Math" w:hAnsi="Cambria Math" w:cs="Cambria Math"/>
                  <w:szCs w:val="28"/>
                </w:rPr>
                <m:t>n</m:t>
              </m:r>
            </m:sup>
            <m:e>
              <m:sSub>
                <m:sSubPr>
                  <m:ctrlPr>
                    <w:rPr>
                      <w:rFonts w:ascii="Cambria Math" w:hAnsi="Cambria Math"/>
                      <w:szCs w:val="28"/>
                    </w:rPr>
                  </m:ctrlPr>
                </m:sSubPr>
                <m:e>
                  <m:r>
                    <w:rPr>
                      <w:rFonts w:ascii="Cambria Math" w:hAnsi="Cambria Math"/>
                      <w:szCs w:val="28"/>
                    </w:rPr>
                    <m:t>p</m:t>
                  </m:r>
                </m:e>
                <m:sub>
                  <m:r>
                    <w:rPr>
                      <w:rFonts w:ascii="Cambria Math" w:hAnsi="Cambria Math"/>
                      <w:szCs w:val="28"/>
                    </w:rPr>
                    <m:t>i</m:t>
                  </m:r>
                </m:sub>
              </m:sSub>
            </m:e>
          </m:nary>
        </m:oMath>
      </m:oMathPara>
    </w:p>
    <w:p w14:paraId="4017B04C" w14:textId="5606F3F1" w:rsidR="00810114" w:rsidRDefault="00810114">
      <w:r>
        <w:t>n = total number of age groups over the age range of the age-adjusted rate</w:t>
      </w:r>
      <w:r w:rsidR="00D95F38">
        <w:t>.</w:t>
      </w:r>
    </w:p>
    <w:p w14:paraId="67D32F2B" w14:textId="77777777" w:rsidR="00810114" w:rsidRDefault="00810114">
      <w:r>
        <w:t xml:space="preserve">Age adjustment by the direct method requires use of a standard age distribution. The standard for age adjusting proportions for data occurring after year 2000 is the year 2000 projected U.S. resident population. </w:t>
      </w:r>
    </w:p>
    <w:p w14:paraId="23590813" w14:textId="2BEF4555" w:rsidR="00605C7D" w:rsidRDefault="00605C7D" w:rsidP="00A3194F">
      <w:pPr>
        <w:pStyle w:val="Caption"/>
        <w:keepNext/>
        <w:spacing w:before="240"/>
      </w:pPr>
      <w:bookmarkStart w:id="95" w:name="_Toc46395268"/>
      <w:r>
        <w:t xml:space="preserve">Table </w:t>
      </w:r>
      <w:r w:rsidR="00977B42">
        <w:rPr>
          <w:noProof/>
        </w:rPr>
        <w:fldChar w:fldCharType="begin"/>
      </w:r>
      <w:r w:rsidR="00977B42">
        <w:rPr>
          <w:noProof/>
        </w:rPr>
        <w:instrText xml:space="preserve"> SEQ Table \* ARABIC </w:instrText>
      </w:r>
      <w:r w:rsidR="00977B42">
        <w:rPr>
          <w:noProof/>
        </w:rPr>
        <w:fldChar w:fldCharType="separate"/>
      </w:r>
      <w:r w:rsidR="009A1B7A">
        <w:rPr>
          <w:noProof/>
        </w:rPr>
        <w:t>3</w:t>
      </w:r>
      <w:r w:rsidR="00977B42">
        <w:rPr>
          <w:noProof/>
        </w:rPr>
        <w:fldChar w:fldCharType="end"/>
      </w:r>
      <w:r>
        <w:t>. Projected Year 2000 U.S. Population Proportion Distribution by Age for Age Adjusting</w:t>
      </w:r>
      <w:bookmarkEnd w:id="95"/>
    </w:p>
    <w:tbl>
      <w:tblPr>
        <w:tblW w:w="6840" w:type="dxa"/>
        <w:jc w:val="center"/>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6" w:space="0" w:color="C6D9F1" w:themeColor="text2" w:themeTint="33"/>
          <w:insideV w:val="single" w:sz="6" w:space="0" w:color="C6D9F1" w:themeColor="text2" w:themeTint="33"/>
        </w:tblBorders>
        <w:tblLook w:val="04A0" w:firstRow="1" w:lastRow="0" w:firstColumn="1" w:lastColumn="0" w:noHBand="0" w:noVBand="1"/>
        <w:tblCaption w:val="Projected Year 2000 US Population Proportion Distribution by Age for Age Adjusting"/>
        <w:tblDescription w:val="A table with two columns reading from left to right: age, proportion distribution (weights)."/>
      </w:tblPr>
      <w:tblGrid>
        <w:gridCol w:w="2425"/>
        <w:gridCol w:w="4415"/>
      </w:tblGrid>
      <w:tr w:rsidR="00E05E97" w:rsidRPr="00164F87" w14:paraId="48BEC1DA" w14:textId="77777777" w:rsidTr="001C5159">
        <w:trPr>
          <w:trHeight w:val="315"/>
          <w:jc w:val="center"/>
        </w:trPr>
        <w:tc>
          <w:tcPr>
            <w:tcW w:w="2425" w:type="dxa"/>
            <w:tcBorders>
              <w:top w:val="single" w:sz="4" w:space="0" w:color="C6D9F1" w:themeColor="text2" w:themeTint="33"/>
              <w:bottom w:val="single" w:sz="4" w:space="0" w:color="C6D9F1" w:themeColor="text2" w:themeTint="33"/>
            </w:tcBorders>
            <w:shd w:val="clear" w:color="auto" w:fill="auto"/>
            <w:noWrap/>
            <w:vAlign w:val="center"/>
            <w:hideMark/>
          </w:tcPr>
          <w:p w14:paraId="29977F78" w14:textId="77777777" w:rsidR="00E05E97" w:rsidRPr="001C5159" w:rsidRDefault="00E05E97" w:rsidP="001C5159">
            <w:pPr>
              <w:pStyle w:val="TableColumnHeading"/>
            </w:pPr>
            <w:r w:rsidRPr="001C5159">
              <w:t xml:space="preserve">Age </w:t>
            </w:r>
          </w:p>
        </w:tc>
        <w:tc>
          <w:tcPr>
            <w:tcW w:w="4415" w:type="dxa"/>
            <w:tcBorders>
              <w:top w:val="single" w:sz="4" w:space="0" w:color="C6D9F1" w:themeColor="text2" w:themeTint="33"/>
              <w:bottom w:val="single" w:sz="4" w:space="0" w:color="C6D9F1" w:themeColor="text2" w:themeTint="33"/>
            </w:tcBorders>
            <w:shd w:val="clear" w:color="auto" w:fill="auto"/>
            <w:noWrap/>
            <w:vAlign w:val="center"/>
            <w:hideMark/>
          </w:tcPr>
          <w:p w14:paraId="3401EBC5" w14:textId="77777777" w:rsidR="00E05E97" w:rsidRPr="001C5159" w:rsidRDefault="00E05E97" w:rsidP="001C5159">
            <w:pPr>
              <w:pStyle w:val="TableColumnHeading"/>
            </w:pPr>
            <w:r w:rsidRPr="001C5159">
              <w:t>Proportion Distribution (weights)</w:t>
            </w:r>
          </w:p>
        </w:tc>
      </w:tr>
      <w:tr w:rsidR="00E05E97" w:rsidRPr="009A1B7A" w14:paraId="2E169CF6" w14:textId="77777777" w:rsidTr="001C5159">
        <w:trPr>
          <w:trHeight w:val="315"/>
          <w:jc w:val="center"/>
        </w:trPr>
        <w:tc>
          <w:tcPr>
            <w:tcW w:w="2425" w:type="dxa"/>
            <w:tcBorders>
              <w:top w:val="single" w:sz="4" w:space="0" w:color="C6D9F1" w:themeColor="text2" w:themeTint="33"/>
            </w:tcBorders>
            <w:shd w:val="clear" w:color="auto" w:fill="auto"/>
            <w:noWrap/>
            <w:vAlign w:val="center"/>
            <w:hideMark/>
          </w:tcPr>
          <w:p w14:paraId="591FA781"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All ages</w:t>
            </w:r>
          </w:p>
        </w:tc>
        <w:tc>
          <w:tcPr>
            <w:tcW w:w="4415" w:type="dxa"/>
            <w:tcBorders>
              <w:top w:val="single" w:sz="4" w:space="0" w:color="C6D9F1" w:themeColor="text2" w:themeTint="33"/>
            </w:tcBorders>
            <w:shd w:val="clear" w:color="auto" w:fill="auto"/>
            <w:noWrap/>
            <w:vAlign w:val="center"/>
            <w:hideMark/>
          </w:tcPr>
          <w:p w14:paraId="2E69DB81"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1</w:t>
            </w:r>
          </w:p>
        </w:tc>
      </w:tr>
      <w:tr w:rsidR="00E05E97" w:rsidRPr="009A1B7A" w14:paraId="2AEAA782" w14:textId="77777777" w:rsidTr="001C5159">
        <w:trPr>
          <w:trHeight w:val="315"/>
          <w:jc w:val="center"/>
        </w:trPr>
        <w:tc>
          <w:tcPr>
            <w:tcW w:w="2425" w:type="dxa"/>
            <w:shd w:val="clear" w:color="auto" w:fill="auto"/>
            <w:noWrap/>
            <w:vAlign w:val="center"/>
            <w:hideMark/>
          </w:tcPr>
          <w:p w14:paraId="34904C94"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2 to 4</w:t>
            </w:r>
          </w:p>
        </w:tc>
        <w:tc>
          <w:tcPr>
            <w:tcW w:w="4415" w:type="dxa"/>
            <w:shd w:val="clear" w:color="auto" w:fill="auto"/>
            <w:noWrap/>
            <w:vAlign w:val="center"/>
            <w:hideMark/>
          </w:tcPr>
          <w:p w14:paraId="1ED6A0FC"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0.1605</w:t>
            </w:r>
          </w:p>
        </w:tc>
      </w:tr>
      <w:tr w:rsidR="00E05E97" w:rsidRPr="009A1B7A" w14:paraId="0A45CB54" w14:textId="77777777" w:rsidTr="001C5159">
        <w:trPr>
          <w:trHeight w:val="315"/>
          <w:jc w:val="center"/>
        </w:trPr>
        <w:tc>
          <w:tcPr>
            <w:tcW w:w="2425" w:type="dxa"/>
            <w:shd w:val="clear" w:color="auto" w:fill="auto"/>
            <w:noWrap/>
            <w:vAlign w:val="center"/>
            <w:hideMark/>
          </w:tcPr>
          <w:p w14:paraId="0728F667"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5 to 9</w:t>
            </w:r>
          </w:p>
        </w:tc>
        <w:tc>
          <w:tcPr>
            <w:tcW w:w="4415" w:type="dxa"/>
            <w:shd w:val="clear" w:color="auto" w:fill="auto"/>
            <w:noWrap/>
            <w:vAlign w:val="center"/>
            <w:hideMark/>
          </w:tcPr>
          <w:p w14:paraId="49818E88"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0.2796</w:t>
            </w:r>
          </w:p>
        </w:tc>
      </w:tr>
      <w:tr w:rsidR="00E05E97" w:rsidRPr="009A1B7A" w14:paraId="7B63C9CF" w14:textId="77777777" w:rsidTr="001C5159">
        <w:trPr>
          <w:trHeight w:val="315"/>
          <w:jc w:val="center"/>
        </w:trPr>
        <w:tc>
          <w:tcPr>
            <w:tcW w:w="2425" w:type="dxa"/>
            <w:shd w:val="clear" w:color="auto" w:fill="auto"/>
            <w:noWrap/>
            <w:vAlign w:val="center"/>
            <w:hideMark/>
          </w:tcPr>
          <w:p w14:paraId="329619C7"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10 to 14</w:t>
            </w:r>
          </w:p>
        </w:tc>
        <w:tc>
          <w:tcPr>
            <w:tcW w:w="4415" w:type="dxa"/>
            <w:shd w:val="clear" w:color="auto" w:fill="auto"/>
            <w:noWrap/>
            <w:vAlign w:val="center"/>
            <w:hideMark/>
          </w:tcPr>
          <w:p w14:paraId="4367ACFA"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0.2815</w:t>
            </w:r>
          </w:p>
        </w:tc>
      </w:tr>
      <w:tr w:rsidR="00E05E97" w:rsidRPr="009A1B7A" w14:paraId="54FB5B32" w14:textId="77777777" w:rsidTr="001C5159">
        <w:trPr>
          <w:trHeight w:val="315"/>
          <w:jc w:val="center"/>
        </w:trPr>
        <w:tc>
          <w:tcPr>
            <w:tcW w:w="2425" w:type="dxa"/>
            <w:shd w:val="clear" w:color="auto" w:fill="auto"/>
            <w:noWrap/>
            <w:vAlign w:val="center"/>
            <w:hideMark/>
          </w:tcPr>
          <w:p w14:paraId="3E4205FB"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15 to 17</w:t>
            </w:r>
          </w:p>
        </w:tc>
        <w:tc>
          <w:tcPr>
            <w:tcW w:w="4415" w:type="dxa"/>
            <w:shd w:val="clear" w:color="auto" w:fill="auto"/>
            <w:noWrap/>
            <w:vAlign w:val="center"/>
            <w:hideMark/>
          </w:tcPr>
          <w:p w14:paraId="05EC4AB9"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0.1659</w:t>
            </w:r>
          </w:p>
        </w:tc>
      </w:tr>
      <w:tr w:rsidR="00E05E97" w:rsidRPr="009A1B7A" w14:paraId="0993CEE2" w14:textId="77777777" w:rsidTr="001C5159">
        <w:trPr>
          <w:trHeight w:val="315"/>
          <w:jc w:val="center"/>
        </w:trPr>
        <w:tc>
          <w:tcPr>
            <w:tcW w:w="2425" w:type="dxa"/>
            <w:shd w:val="clear" w:color="auto" w:fill="auto"/>
            <w:noWrap/>
            <w:vAlign w:val="center"/>
            <w:hideMark/>
          </w:tcPr>
          <w:p w14:paraId="49E66BA6" w14:textId="77777777" w:rsidR="00E05E97" w:rsidRPr="001C5159" w:rsidRDefault="00E05E97">
            <w:pPr>
              <w:rPr>
                <w:rFonts w:ascii="Arial" w:hAnsi="Arial" w:cs="Arial"/>
                <w:iCs/>
                <w:color w:val="000000"/>
                <w:sz w:val="20"/>
                <w:szCs w:val="20"/>
              </w:rPr>
            </w:pPr>
            <w:r w:rsidRPr="001C5159">
              <w:rPr>
                <w:rFonts w:ascii="Arial" w:hAnsi="Arial" w:cs="Arial"/>
                <w:iCs/>
                <w:color w:val="000000"/>
                <w:sz w:val="20"/>
                <w:szCs w:val="20"/>
              </w:rPr>
              <w:t>18 and 19</w:t>
            </w:r>
          </w:p>
        </w:tc>
        <w:tc>
          <w:tcPr>
            <w:tcW w:w="4415" w:type="dxa"/>
            <w:shd w:val="clear" w:color="auto" w:fill="auto"/>
            <w:noWrap/>
            <w:vAlign w:val="center"/>
            <w:hideMark/>
          </w:tcPr>
          <w:p w14:paraId="27BC9B05" w14:textId="77777777" w:rsidR="00E05E97" w:rsidRPr="001C5159" w:rsidRDefault="00E05E97" w:rsidP="001C5159">
            <w:pPr>
              <w:rPr>
                <w:rFonts w:ascii="Arial" w:hAnsi="Arial" w:cs="Arial"/>
                <w:iCs/>
                <w:color w:val="000000"/>
                <w:sz w:val="20"/>
                <w:szCs w:val="20"/>
              </w:rPr>
            </w:pPr>
            <w:r w:rsidRPr="001C5159">
              <w:rPr>
                <w:rFonts w:ascii="Arial" w:hAnsi="Arial" w:cs="Arial"/>
                <w:iCs/>
                <w:color w:val="000000"/>
                <w:sz w:val="20"/>
                <w:szCs w:val="20"/>
              </w:rPr>
              <w:t>0.1123</w:t>
            </w:r>
          </w:p>
        </w:tc>
      </w:tr>
    </w:tbl>
    <w:p w14:paraId="06747332" w14:textId="77777777" w:rsidR="00E05E97" w:rsidRPr="005957F6" w:rsidRDefault="00E05E97" w:rsidP="001C5159">
      <w:pPr>
        <w:ind w:left="720" w:firstLine="720"/>
        <w:rPr>
          <w:sz w:val="8"/>
        </w:rPr>
      </w:pPr>
      <w:r w:rsidRPr="003956DC">
        <w:t xml:space="preserve">*Figure is rounded up instead of down to force total to 1.0. </w:t>
      </w:r>
    </w:p>
    <w:p w14:paraId="5AEBD0B8" w14:textId="77777777" w:rsidR="00010989" w:rsidRDefault="00010989" w:rsidP="00A3194F">
      <w:pPr>
        <w:spacing w:before="240"/>
      </w:pPr>
      <w:r>
        <w:t xml:space="preserve">Age-adjusted prevalence estimates and standard errors will typically be similar or identical to the weighted prevalence estimates and standard errors. Age-adjusted estimates may differ from weighted estimates if one or more age group weighting cell was collapsed. </w:t>
      </w:r>
    </w:p>
    <w:p w14:paraId="23B30B85" w14:textId="3272D566" w:rsidR="003D4A66" w:rsidRDefault="00D95F38" w:rsidP="00A3194F">
      <w:pPr>
        <w:pStyle w:val="AppHeading2"/>
      </w:pPr>
      <w:bookmarkStart w:id="96" w:name="_Toc46395252"/>
      <w:r>
        <w:t>Body Mass Index</w:t>
      </w:r>
      <w:bookmarkEnd w:id="96"/>
    </w:p>
    <w:p w14:paraId="26CDBDA4" w14:textId="4E28AF00" w:rsidR="002975B7" w:rsidRDefault="003F01CE" w:rsidP="00A3194F">
      <w:pPr>
        <w:spacing w:after="240"/>
      </w:pPr>
      <w:r w:rsidRPr="003F01CE">
        <w:t>BMI is a person</w:t>
      </w:r>
      <w:r w:rsidR="000D13FC">
        <w:t>’</w:t>
      </w:r>
      <w:r w:rsidRPr="003F01CE">
        <w:t>s weight in kilograms divided by the square of height in meters. A high BMI can be an indicator of high body fatness. BMI can be used to screen for weight categories that may lead to health problems</w:t>
      </w:r>
      <w:r w:rsidR="00D95F38">
        <w:t>,</w:t>
      </w:r>
      <w:r w:rsidRPr="003F01CE">
        <w:t xml:space="preserve"> but it is not diagnostic of </w:t>
      </w:r>
      <w:r w:rsidR="004232AC" w:rsidRPr="003F01CE">
        <w:t>an individual</w:t>
      </w:r>
      <w:r w:rsidR="004232AC">
        <w:t>’s</w:t>
      </w:r>
      <w:r w:rsidR="004232AC" w:rsidRPr="003F01CE">
        <w:t xml:space="preserve"> </w:t>
      </w:r>
      <w:r w:rsidRPr="003F01CE">
        <w:t>body fatness or health.</w:t>
      </w:r>
      <w:r w:rsidR="002975B7">
        <w:t xml:space="preserve"> </w:t>
      </w:r>
    </w:p>
    <w:p w14:paraId="6357EB2A" w14:textId="09CE6C78" w:rsidR="002975B7" w:rsidRDefault="002975B7" w:rsidP="00A3194F">
      <w:pPr>
        <w:spacing w:after="240"/>
      </w:pPr>
      <w:r>
        <w:lastRenderedPageBreak/>
        <w:t xml:space="preserve">For children and teens, BMI is age- and sex-specific and is often referred to as BMI-for-age. In </w:t>
      </w:r>
      <w:r w:rsidR="00504041">
        <w:t>children and teens</w:t>
      </w:r>
      <w:r>
        <w:t xml:space="preserve">, a high amount of body fat can lead to weight-related diseases and other health issues. Being underweight can also put </w:t>
      </w:r>
      <w:r w:rsidR="004232AC">
        <w:t xml:space="preserve">individuals </w:t>
      </w:r>
      <w:r>
        <w:t>at risk for health issues.</w:t>
      </w:r>
    </w:p>
    <w:p w14:paraId="08AA267F" w14:textId="4F23E66C" w:rsidR="002975B7" w:rsidRDefault="002975B7" w:rsidP="00A3194F">
      <w:pPr>
        <w:spacing w:after="240"/>
      </w:pPr>
      <w:r>
        <w:t>For more information</w:t>
      </w:r>
      <w:r w:rsidR="00D95F38">
        <w:t>,</w:t>
      </w:r>
      <w:r>
        <w:t xml:space="preserve"> see </w:t>
      </w:r>
      <w:hyperlink r:id="rId18" w:history="1">
        <w:r w:rsidRPr="00D911B8">
          <w:rPr>
            <w:rStyle w:val="Hyperlink"/>
          </w:rPr>
          <w:t>https://www.cdc.gov/healthyweight/assessing/bmi/childrens_bmi/about_childrens_bmi.html</w:t>
        </w:r>
      </w:hyperlink>
      <w:r w:rsidR="00D95F38">
        <w:rPr>
          <w:rStyle w:val="Hyperlink"/>
        </w:rPr>
        <w:t>.</w:t>
      </w:r>
      <w:r>
        <w:t xml:space="preserve"> </w:t>
      </w:r>
    </w:p>
    <w:p w14:paraId="7038A788" w14:textId="4941A03B" w:rsidR="004F6C96" w:rsidRDefault="004F6C96" w:rsidP="00A3194F">
      <w:pPr>
        <w:pStyle w:val="AppHeading2"/>
      </w:pPr>
      <w:bookmarkStart w:id="97" w:name="_Toc46395253"/>
      <w:r>
        <w:t>Prevalence</w:t>
      </w:r>
      <w:bookmarkEnd w:id="97"/>
    </w:p>
    <w:p w14:paraId="48801275" w14:textId="47746AAA" w:rsidR="00FB1979" w:rsidRDefault="00FB1979" w:rsidP="00A3194F">
      <w:r>
        <w:t>A prevalence rate is</w:t>
      </w:r>
      <w:r w:rsidR="00D95F38">
        <w:t xml:space="preserve"> either:</w:t>
      </w:r>
    </w:p>
    <w:p w14:paraId="7450DB42" w14:textId="77777777" w:rsidR="00FB1979" w:rsidRDefault="00FB1979" w:rsidP="00A3194F">
      <w:pPr>
        <w:pStyle w:val="BulletListMultiple"/>
      </w:pPr>
      <w:r>
        <w:t xml:space="preserve">Crude: </w:t>
      </w:r>
      <w:r w:rsidRPr="004F6C96">
        <w:t xml:space="preserve">the proportion of the </w:t>
      </w:r>
      <w:r>
        <w:t>sample</w:t>
      </w:r>
      <w:r w:rsidRPr="004F6C96">
        <w:t xml:space="preserve"> that has a health condition at a point in time. </w:t>
      </w:r>
    </w:p>
    <w:p w14:paraId="5CF85B20" w14:textId="77777777" w:rsidR="00FB1979" w:rsidRDefault="00FB1979" w:rsidP="00A3194F">
      <w:pPr>
        <w:pStyle w:val="BulletListMultiple"/>
      </w:pPr>
      <w:r>
        <w:t xml:space="preserve">Weighted: </w:t>
      </w:r>
      <w:r w:rsidR="004F6C96" w:rsidRPr="004F6C96">
        <w:t xml:space="preserve">the </w:t>
      </w:r>
      <w:r w:rsidR="004F6C96">
        <w:t xml:space="preserve">estimated </w:t>
      </w:r>
      <w:r w:rsidR="004F6C96" w:rsidRPr="004F6C96">
        <w:t xml:space="preserve">proportion of the population that has a health condition at a point in time. </w:t>
      </w:r>
      <w:r>
        <w:t xml:space="preserve">See Appendix A. Statistical Weights for more information. </w:t>
      </w:r>
    </w:p>
    <w:p w14:paraId="3ECCC70C" w14:textId="77777777" w:rsidR="00FB1979" w:rsidRDefault="00FB1979" w:rsidP="00A3194F">
      <w:pPr>
        <w:pStyle w:val="BulletListMultiple"/>
      </w:pPr>
      <w:r>
        <w:t xml:space="preserve">Age-adjusted: </w:t>
      </w:r>
      <w:r w:rsidRPr="004F6C96">
        <w:t xml:space="preserve">the </w:t>
      </w:r>
      <w:r>
        <w:t xml:space="preserve">estimated </w:t>
      </w:r>
      <w:r w:rsidRPr="004F6C96">
        <w:t>proportion of the population</w:t>
      </w:r>
      <w:r>
        <w:t xml:space="preserve"> (adjusted by three age categories)</w:t>
      </w:r>
      <w:r w:rsidRPr="004F6C96">
        <w:t xml:space="preserve"> that has a health condition at a point in time. </w:t>
      </w:r>
      <w:r>
        <w:t xml:space="preserve">See Appendix A. Age Adjustment for more information. </w:t>
      </w:r>
    </w:p>
    <w:p w14:paraId="50FCEAD4" w14:textId="77777777" w:rsidR="00504041" w:rsidRDefault="00504041" w:rsidP="00A3194F">
      <w:pPr>
        <w:pStyle w:val="AppHeading2"/>
      </w:pPr>
      <w:bookmarkStart w:id="98" w:name="_Toc46395254"/>
      <w:r>
        <w:t>Race Exclusion</w:t>
      </w:r>
      <w:bookmarkEnd w:id="98"/>
    </w:p>
    <w:p w14:paraId="11C9AE32" w14:textId="04F4C2CA" w:rsidR="00504041" w:rsidRPr="00050CB1" w:rsidRDefault="00504041" w:rsidP="00A3194F">
      <w:r>
        <w:t>One or more race</w:t>
      </w:r>
      <w:r w:rsidR="004232AC">
        <w:t>s</w:t>
      </w:r>
      <w:r>
        <w:t xml:space="preserve"> may be excluded from prevalence estimates. A race may be excluded by the algorithm if </w:t>
      </w:r>
      <w:r w:rsidR="004232AC">
        <w:t xml:space="preserve">the sample includes </w:t>
      </w:r>
      <w:r>
        <w:t xml:space="preserve">20 or fewer children or teens </w:t>
      </w:r>
      <w:r w:rsidR="00D95F38">
        <w:t xml:space="preserve">of </w:t>
      </w:r>
      <w:r>
        <w:t xml:space="preserve">a particular race. </w:t>
      </w:r>
    </w:p>
    <w:p w14:paraId="012C6C37" w14:textId="77777777" w:rsidR="00AD22DE" w:rsidRDefault="00F55A70" w:rsidP="00A3194F">
      <w:pPr>
        <w:pStyle w:val="AppHeading2"/>
      </w:pPr>
      <w:bookmarkStart w:id="99" w:name="_Toc46395255"/>
      <w:r>
        <w:t>Race I</w:t>
      </w:r>
      <w:r w:rsidR="00AD22DE">
        <w:t>mputation</w:t>
      </w:r>
      <w:bookmarkEnd w:id="99"/>
    </w:p>
    <w:p w14:paraId="2040285D" w14:textId="0518773F" w:rsidR="00AD22DE" w:rsidRDefault="00AD22DE" w:rsidP="00AD22DE">
      <w:r>
        <w:t xml:space="preserve">Race is a required input for CODI-PQ. </w:t>
      </w:r>
      <w:r w:rsidR="00037A2E">
        <w:t xml:space="preserve">The </w:t>
      </w:r>
      <w:r w:rsidR="008B5283">
        <w:t>pre-processing</w:t>
      </w:r>
      <w:r w:rsidR="00037A2E">
        <w:t xml:space="preserve"> algorithm imputes </w:t>
      </w:r>
      <w:r>
        <w:t xml:space="preserve">race </w:t>
      </w:r>
      <w:r w:rsidR="00037A2E">
        <w:t xml:space="preserve">for each child </w:t>
      </w:r>
      <w:r w:rsidR="00112B39">
        <w:t xml:space="preserve">or teen </w:t>
      </w:r>
      <w:r w:rsidR="00037A2E">
        <w:t>missing race information</w:t>
      </w:r>
      <w:r>
        <w:t>. The algorithm operates sequentially in three phases</w:t>
      </w:r>
      <w:r w:rsidR="00037A2E">
        <w:t>, i</w:t>
      </w:r>
      <w:r>
        <w:t>mput</w:t>
      </w:r>
      <w:r w:rsidR="008B5283">
        <w:t xml:space="preserve">ing </w:t>
      </w:r>
      <w:r>
        <w:t xml:space="preserve">race for </w:t>
      </w:r>
      <w:r w:rsidR="00504041">
        <w:t>children and teens</w:t>
      </w:r>
      <w:r>
        <w:t xml:space="preserve"> who: </w:t>
      </w:r>
    </w:p>
    <w:p w14:paraId="58593BF8" w14:textId="3CE17661" w:rsidR="00AD22DE" w:rsidRDefault="00D95F38" w:rsidP="00A3194F">
      <w:pPr>
        <w:pStyle w:val="BulletListMultiple"/>
      </w:pPr>
      <w:r>
        <w:t>H</w:t>
      </w:r>
      <w:r w:rsidR="00AD22DE">
        <w:t xml:space="preserve">ave a chronic condition, </w:t>
      </w:r>
    </w:p>
    <w:p w14:paraId="725E89AC" w14:textId="30874D84" w:rsidR="00AD22DE" w:rsidRDefault="00D95F38" w:rsidP="00A3194F">
      <w:pPr>
        <w:pStyle w:val="BulletListMultiple"/>
      </w:pPr>
      <w:r>
        <w:t>A</w:t>
      </w:r>
      <w:r w:rsidR="00AD22DE">
        <w:t>re identified as Hispanic and do not have a chronic condition, or</w:t>
      </w:r>
    </w:p>
    <w:p w14:paraId="2FD47549" w14:textId="51B59878" w:rsidR="00AD22DE" w:rsidRDefault="00D95F38" w:rsidP="00A3194F">
      <w:pPr>
        <w:pStyle w:val="BulletListMultiple"/>
      </w:pPr>
      <w:r>
        <w:t>N</w:t>
      </w:r>
      <w:r w:rsidR="00AD22DE">
        <w:t xml:space="preserve">either have a chronic condition nor are identified as Hispanic. </w:t>
      </w:r>
    </w:p>
    <w:p w14:paraId="04A43748" w14:textId="77777777" w:rsidR="00AD22DE" w:rsidRDefault="00037A2E" w:rsidP="00A3194F">
      <w:pPr>
        <w:spacing w:after="240"/>
      </w:pPr>
      <w:r>
        <w:t>The algorithm requires a combination of clinical</w:t>
      </w:r>
      <w:r w:rsidR="00F55A70">
        <w:t xml:space="preserve"> and </w:t>
      </w:r>
      <w:r>
        <w:t>ACS data.</w:t>
      </w:r>
    </w:p>
    <w:p w14:paraId="5A63C969" w14:textId="3EA7136D" w:rsidR="00037A2E" w:rsidRDefault="00AD22DE" w:rsidP="00A3194F">
      <w:pPr>
        <w:spacing w:after="240"/>
      </w:pPr>
      <w:r>
        <w:t xml:space="preserve">Once complete, the output from each phase is combined </w:t>
      </w:r>
      <w:r w:rsidR="00F55A70">
        <w:t xml:space="preserve">with </w:t>
      </w:r>
      <w:r>
        <w:t xml:space="preserve">each child </w:t>
      </w:r>
      <w:r w:rsidR="00112B39">
        <w:t xml:space="preserve">or teen </w:t>
      </w:r>
      <w:r w:rsidR="008B5283">
        <w:t>with</w:t>
      </w:r>
      <w:r w:rsidR="00F55A70">
        <w:t xml:space="preserve"> an </w:t>
      </w:r>
      <w:r>
        <w:t>EHR</w:t>
      </w:r>
      <w:r w:rsidR="00D95F38">
        <w:t>-</w:t>
      </w:r>
      <w:r>
        <w:t>provided race, an imputed race, or categorized as “unknown</w:t>
      </w:r>
      <w:r w:rsidR="00F55A70">
        <w:t>.</w:t>
      </w:r>
      <w:r>
        <w:t xml:space="preserve">” </w:t>
      </w:r>
    </w:p>
    <w:p w14:paraId="41329E0E" w14:textId="2A246694" w:rsidR="00037A2E" w:rsidRDefault="00AD22DE" w:rsidP="00AD22DE">
      <w:r>
        <w:t>A child</w:t>
      </w:r>
      <w:r w:rsidR="000D13FC">
        <w:t>’</w:t>
      </w:r>
      <w:r>
        <w:t xml:space="preserve">s race may be missing after race imputation </w:t>
      </w:r>
      <w:r w:rsidR="00F55A70">
        <w:t>for one of four reasons</w:t>
      </w:r>
      <w:r>
        <w:t xml:space="preserve">: </w:t>
      </w:r>
    </w:p>
    <w:p w14:paraId="4DE661EA" w14:textId="02BB2349" w:rsidR="00037A2E" w:rsidRDefault="00D95F38" w:rsidP="00A3194F">
      <w:pPr>
        <w:pStyle w:val="BulletListMultiple"/>
      </w:pPr>
      <w:r>
        <w:t>T</w:t>
      </w:r>
      <w:r w:rsidR="00AD22DE">
        <w:t>he child</w:t>
      </w:r>
      <w:r w:rsidR="000D13FC">
        <w:t>’</w:t>
      </w:r>
      <w:r w:rsidR="00037A2E">
        <w:t xml:space="preserve">s location (state and </w:t>
      </w:r>
      <w:r w:rsidR="00154ACC">
        <w:t>ZCTA-3</w:t>
      </w:r>
      <w:r w:rsidR="00AD22DE">
        <w:t xml:space="preserve">) </w:t>
      </w:r>
      <w:r w:rsidR="00037A2E">
        <w:t xml:space="preserve">is either invalid or </w:t>
      </w:r>
      <w:r w:rsidR="00AD22DE">
        <w:t xml:space="preserve">did not </w:t>
      </w:r>
      <w:r w:rsidR="00F55A70">
        <w:t>have a population count in the</w:t>
      </w:r>
      <w:r w:rsidR="00037A2E">
        <w:t xml:space="preserve"> 2018 ACS</w:t>
      </w:r>
      <w:r>
        <w:t>.</w:t>
      </w:r>
    </w:p>
    <w:p w14:paraId="1A473E41" w14:textId="6DA70CBD" w:rsidR="00037A2E" w:rsidRDefault="00D95F38" w:rsidP="00A3194F">
      <w:pPr>
        <w:pStyle w:val="BulletListMultiple"/>
      </w:pPr>
      <w:r>
        <w:t>T</w:t>
      </w:r>
      <w:r w:rsidR="00AD22DE">
        <w:t>he child</w:t>
      </w:r>
      <w:r w:rsidR="000D13FC">
        <w:t>’</w:t>
      </w:r>
      <w:r w:rsidR="00AD22DE">
        <w:t xml:space="preserve">s age is outside of the scope of </w:t>
      </w:r>
      <w:r w:rsidR="00037A2E">
        <w:t>the algorithm or is unknown</w:t>
      </w:r>
      <w:r>
        <w:t>.</w:t>
      </w:r>
      <w:r w:rsidR="00037A2E">
        <w:t xml:space="preserve"> </w:t>
      </w:r>
      <w:r>
        <w:t>O</w:t>
      </w:r>
      <w:r w:rsidR="00F321F0">
        <w:t>nly children age</w:t>
      </w:r>
      <w:r>
        <w:t>s</w:t>
      </w:r>
      <w:r w:rsidR="00F321F0">
        <w:t xml:space="preserve"> 2 to 19 are in scope</w:t>
      </w:r>
      <w:r>
        <w:t>.</w:t>
      </w:r>
    </w:p>
    <w:p w14:paraId="3A2BFAD6" w14:textId="7692DD61" w:rsidR="00037A2E" w:rsidRDefault="00D95F38" w:rsidP="00A3194F">
      <w:pPr>
        <w:pStyle w:val="BulletListMultiple"/>
      </w:pPr>
      <w:r>
        <w:t>T</w:t>
      </w:r>
      <w:r w:rsidR="00AD22DE">
        <w:t xml:space="preserve">he </w:t>
      </w:r>
      <w:r w:rsidR="00504041">
        <w:t>sex</w:t>
      </w:r>
      <w:r w:rsidR="00AD22DE">
        <w:t xml:space="preserve"> of the child</w:t>
      </w:r>
      <w:r w:rsidR="00112B39">
        <w:t xml:space="preserve"> or teen</w:t>
      </w:r>
      <w:r w:rsidR="00AD22DE">
        <w:t xml:space="preserve"> is unknown</w:t>
      </w:r>
      <w:r>
        <w:t>.</w:t>
      </w:r>
    </w:p>
    <w:p w14:paraId="4442B890" w14:textId="7B43D80F" w:rsidR="00AD22DE" w:rsidRDefault="00D95F38" w:rsidP="00A3194F">
      <w:pPr>
        <w:pStyle w:val="BulletListMultipleLast"/>
      </w:pPr>
      <w:r>
        <w:t>T</w:t>
      </w:r>
      <w:r w:rsidR="00AD22DE">
        <w:t xml:space="preserve">he height of the child </w:t>
      </w:r>
      <w:r w:rsidR="00112B39">
        <w:t xml:space="preserve">or teen </w:t>
      </w:r>
      <w:r w:rsidR="00AD22DE">
        <w:t xml:space="preserve">is unknown. </w:t>
      </w:r>
    </w:p>
    <w:p w14:paraId="145B5187" w14:textId="05CF9637" w:rsidR="00C84B36" w:rsidRPr="008F6040" w:rsidRDefault="008054DD" w:rsidP="00A3194F">
      <w:pPr>
        <w:pStyle w:val="AppHeading2"/>
      </w:pPr>
      <w:bookmarkStart w:id="100" w:name="_Toc46395256"/>
      <w:r>
        <w:lastRenderedPageBreak/>
        <w:t xml:space="preserve">Statistical </w:t>
      </w:r>
      <w:r w:rsidR="00602B54">
        <w:t>W</w:t>
      </w:r>
      <w:r w:rsidR="00C84B36">
        <w:t>eights</w:t>
      </w:r>
      <w:bookmarkEnd w:id="100"/>
    </w:p>
    <w:p w14:paraId="0E5353A8" w14:textId="4DF6D2BE" w:rsidR="00EA6D4C" w:rsidRDefault="003F0BB1" w:rsidP="00A3194F">
      <w:pPr>
        <w:spacing w:after="240"/>
      </w:pPr>
      <w:r>
        <w:t>CODI</w:t>
      </w:r>
      <w:r w:rsidR="00A47A4D">
        <w:t xml:space="preserve"> </w:t>
      </w:r>
      <w:r w:rsidR="008054DD">
        <w:t>and</w:t>
      </w:r>
      <w:r w:rsidR="00A47A4D">
        <w:t xml:space="preserve"> IQVIA data</w:t>
      </w:r>
      <w:r w:rsidR="00B7077C">
        <w:t xml:space="preserve"> </w:t>
      </w:r>
      <w:r w:rsidR="00D95F38">
        <w:t xml:space="preserve">is </w:t>
      </w:r>
      <w:r w:rsidR="00B7077C">
        <w:t>derived from</w:t>
      </w:r>
      <w:r>
        <w:t xml:space="preserve"> EHR</w:t>
      </w:r>
      <w:r w:rsidR="00B7077C">
        <w:t>s</w:t>
      </w:r>
      <w:r>
        <w:t xml:space="preserve">. </w:t>
      </w:r>
      <w:r w:rsidR="008E5996">
        <w:t xml:space="preserve">As described in the </w:t>
      </w:r>
      <w:r w:rsidR="00B7077C">
        <w:t>L</w:t>
      </w:r>
      <w:r w:rsidR="008E5996">
        <w:t xml:space="preserve">imitations section, applying </w:t>
      </w:r>
      <w:r w:rsidR="008054DD">
        <w:t xml:space="preserve">statistical </w:t>
      </w:r>
      <w:r w:rsidR="008E5996">
        <w:t xml:space="preserve">weights is strongly recommended to overcome potential biases introduced by the EHR sampling </w:t>
      </w:r>
      <w:r>
        <w:t xml:space="preserve">methodology. </w:t>
      </w:r>
      <w:r w:rsidR="00E5739D">
        <w:t>Ratio</w:t>
      </w:r>
      <w:r w:rsidR="003624CD">
        <w:t xml:space="preserve"> adjustments are applied to all </w:t>
      </w:r>
      <w:r w:rsidR="00B7077C">
        <w:t xml:space="preserve">sampled </w:t>
      </w:r>
      <w:r w:rsidR="00504041">
        <w:t>children and teens</w:t>
      </w:r>
      <w:r w:rsidR="003624CD">
        <w:t xml:space="preserve">. </w:t>
      </w:r>
      <w:r w:rsidR="00E5739D">
        <w:t>Ratio adjustment</w:t>
      </w:r>
      <w:r w:rsidR="003624CD" w:rsidRPr="003624CD">
        <w:t xml:space="preserve"> </w:t>
      </w:r>
      <w:r w:rsidR="003624CD">
        <w:t>is a statistical weighting technique aimed to</w:t>
      </w:r>
      <w:r w:rsidR="003624CD" w:rsidRPr="003624CD">
        <w:t xml:space="preserve"> improve the accuracy of survey es</w:t>
      </w:r>
      <w:r w:rsidR="003624CD">
        <w:t>timates</w:t>
      </w:r>
      <w:r w:rsidR="003624CD" w:rsidRPr="003624CD">
        <w:t xml:space="preserve"> by </w:t>
      </w:r>
      <w:r w:rsidR="00D95F38" w:rsidRPr="003624CD">
        <w:t xml:space="preserve">both </w:t>
      </w:r>
      <w:r w:rsidR="003624CD" w:rsidRPr="003624CD">
        <w:t>reducing bias and increasing precision</w:t>
      </w:r>
      <w:r w:rsidR="003624CD">
        <w:t xml:space="preserve"> (Little, 1993)</w:t>
      </w:r>
      <w:r w:rsidR="003624CD" w:rsidRPr="003624CD">
        <w:t xml:space="preserve">. </w:t>
      </w:r>
      <w:r w:rsidR="003624CD">
        <w:t xml:space="preserve">One method for accomplishing this goal is known as iterative proportional fitting or raking. Raking adjusts the data so that groups </w:t>
      </w:r>
      <w:r w:rsidR="00B7077C">
        <w:t>that</w:t>
      </w:r>
      <w:r w:rsidR="003624CD">
        <w:t xml:space="preserve"> are underrepresented in the sample can be accurately represented in the final data</w:t>
      </w:r>
      <w:r w:rsidR="00D95F38">
        <w:t xml:space="preserve"> </w:t>
      </w:r>
      <w:r w:rsidR="003624CD">
        <w:t xml:space="preserve">set. Raking accurately matches sample distributions to known demographic characteristics of populations. The use of raking reduces nonresponse bias and has been shown to reduce error within estimates. </w:t>
      </w:r>
    </w:p>
    <w:p w14:paraId="2DBCFC92" w14:textId="620DA6AE" w:rsidR="00EA6D4C" w:rsidRDefault="00EA6D4C" w:rsidP="00A3194F">
      <w:r>
        <w:t xml:space="preserve">Implementing raking procedures requires the specification of appropriate weighting classes or cells. Data used to form classes for adjustments must be available for both </w:t>
      </w:r>
      <w:r w:rsidR="00E5739D">
        <w:t>sample and the population</w:t>
      </w:r>
      <w:r>
        <w:t xml:space="preserve">. </w:t>
      </w:r>
      <w:r w:rsidR="003624CD">
        <w:t xml:space="preserve">CODI-PQ raking includes </w:t>
      </w:r>
      <w:r w:rsidR="00602B54">
        <w:t xml:space="preserve">social determinant of health </w:t>
      </w:r>
      <w:r w:rsidR="003624CD">
        <w:t>categories</w:t>
      </w:r>
      <w:r w:rsidR="00E5739D">
        <w:t xml:space="preserve"> –</w:t>
      </w:r>
      <w:r w:rsidR="000D13FC">
        <w:t xml:space="preserve"> </w:t>
      </w:r>
      <w:r w:rsidR="003624CD">
        <w:t xml:space="preserve">age, </w:t>
      </w:r>
      <w:r w:rsidR="00504041">
        <w:t>sex</w:t>
      </w:r>
      <w:r w:rsidR="003624CD">
        <w:t>, race, and education levels in the surrounding area</w:t>
      </w:r>
      <w:r w:rsidR="00305C6B">
        <w:t xml:space="preserve"> (based on</w:t>
      </w:r>
      <w:r w:rsidR="00305C6B" w:rsidRPr="001C2D80">
        <w:t xml:space="preserve"> percent</w:t>
      </w:r>
      <w:r w:rsidR="00D95F38">
        <w:t>age</w:t>
      </w:r>
      <w:r w:rsidR="00305C6B" w:rsidRPr="001C2D80">
        <w:t xml:space="preserve"> of adults </w:t>
      </w:r>
      <w:r w:rsidR="00305C6B">
        <w:t xml:space="preserve">in the community </w:t>
      </w:r>
      <w:r w:rsidR="00305C6B" w:rsidRPr="001C2D80">
        <w:t>with a bachelor</w:t>
      </w:r>
      <w:r w:rsidR="000D13FC">
        <w:t>’</w:t>
      </w:r>
      <w:r w:rsidR="00305C6B" w:rsidRPr="001C2D80">
        <w:t>s</w:t>
      </w:r>
      <w:r w:rsidR="00305C6B">
        <w:t xml:space="preserve"> degree</w:t>
      </w:r>
      <w:r w:rsidR="00305C6B" w:rsidRPr="001C2D80">
        <w:t xml:space="preserve"> or higher</w:t>
      </w:r>
      <w:r w:rsidR="00305C6B">
        <w:t>)</w:t>
      </w:r>
      <w:r w:rsidR="003624CD">
        <w:t>.</w:t>
      </w:r>
      <w:r w:rsidR="00602B54">
        <w:t xml:space="preserve"> See Appendix A. Social Determinants of Health.</w:t>
      </w:r>
      <w:r>
        <w:t xml:space="preserve"> Once formed, the weighting classes are assessed</w:t>
      </w:r>
      <w:r w:rsidR="004232AC">
        <w:t>, and</w:t>
      </w:r>
      <w:r>
        <w:t xml:space="preserve"> cells</w:t>
      </w:r>
      <w:r w:rsidR="00E5739D">
        <w:t xml:space="preserve"> with small sample counts</w:t>
      </w:r>
      <w:r>
        <w:t xml:space="preserve"> are collapsed with their nearest neighbor</w:t>
      </w:r>
      <w:r w:rsidR="00856F8C">
        <w:t xml:space="preserve"> </w:t>
      </w:r>
      <w:r>
        <w:t xml:space="preserve">to reduce variability in the estimates. </w:t>
      </w:r>
      <w:r w:rsidR="00327400">
        <w:t>The collapsing follows these guide points:</w:t>
      </w:r>
    </w:p>
    <w:p w14:paraId="46322AC8" w14:textId="10FF96CC" w:rsidR="00327400" w:rsidRDefault="00327400" w:rsidP="002D23AA">
      <w:pPr>
        <w:pStyle w:val="BulletListMultiple"/>
      </w:pPr>
      <w:r w:rsidRPr="00A3194F">
        <w:rPr>
          <w:b/>
          <w:bCs/>
        </w:rPr>
        <w:t>Age</w:t>
      </w:r>
      <w:r>
        <w:t xml:space="preserve"> = age category less than or greater than current </w:t>
      </w:r>
    </w:p>
    <w:p w14:paraId="0DA007E9" w14:textId="3848C66F" w:rsidR="00327400" w:rsidRDefault="00327400" w:rsidP="00EE6301">
      <w:pPr>
        <w:pStyle w:val="BulletListMultiple"/>
      </w:pPr>
      <w:r w:rsidRPr="00A3194F">
        <w:rPr>
          <w:b/>
          <w:bCs/>
        </w:rPr>
        <w:t>Sex</w:t>
      </w:r>
      <w:r>
        <w:t xml:space="preserve"> = do not collapse </w:t>
      </w:r>
    </w:p>
    <w:p w14:paraId="4F5C3389" w14:textId="5AF15E40" w:rsidR="00D22BA8" w:rsidRDefault="00327400" w:rsidP="001C5159">
      <w:pPr>
        <w:pStyle w:val="BulletListMultiple"/>
      </w:pPr>
      <w:r w:rsidRPr="00A3194F">
        <w:rPr>
          <w:b/>
          <w:bCs/>
        </w:rPr>
        <w:t>Race</w:t>
      </w:r>
      <w:r>
        <w:t xml:space="preserve"> = do not collapse, instead exclude small cell categories from prevalence estimates</w:t>
      </w:r>
    </w:p>
    <w:p w14:paraId="1F31E9F6" w14:textId="1DCF06C1" w:rsidR="00327400" w:rsidRDefault="00D22BA8" w:rsidP="001C5159">
      <w:pPr>
        <w:pStyle w:val="BulletListMultiple"/>
      </w:pPr>
      <w:r w:rsidRPr="00A3194F">
        <w:rPr>
          <w:b/>
        </w:rPr>
        <w:t>Education</w:t>
      </w:r>
      <w:r w:rsidR="00327400">
        <w:t>= community with a similar education level</w:t>
      </w:r>
    </w:p>
    <w:p w14:paraId="58E93804" w14:textId="50057782" w:rsidR="001C2D80" w:rsidRDefault="003624CD" w:rsidP="00A3194F">
      <w:pPr>
        <w:spacing w:after="240"/>
      </w:pPr>
      <w:r>
        <w:t xml:space="preserve">Raking is completed by adjusting for one demographic variable (or dimension) at a time. For example, when weighting by age and </w:t>
      </w:r>
      <w:r w:rsidR="00504041">
        <w:t>sex</w:t>
      </w:r>
      <w:r>
        <w:t xml:space="preserve">, weights would first be adjusted for age groups, then those estimates would be adjusted by </w:t>
      </w:r>
      <w:r w:rsidR="00504041">
        <w:t>sex</w:t>
      </w:r>
      <w:r>
        <w:t xml:space="preserve"> groups. This procedure continue</w:t>
      </w:r>
      <w:r w:rsidR="00EA6D4C">
        <w:t>s</w:t>
      </w:r>
      <w:r>
        <w:t xml:space="preserve"> in an iterative process until all group proportions in the sample approach those of the population, or after a set number of iterations.</w:t>
      </w:r>
      <w:r w:rsidR="00DA45D4">
        <w:t xml:space="preserve"> </w:t>
      </w:r>
      <w:r>
        <w:t>On</w:t>
      </w:r>
      <w:r w:rsidR="00327400">
        <w:t>c</w:t>
      </w:r>
      <w:r>
        <w:t>e raked, weight trimming is used to reduce errors in the outcome estimates caused by</w:t>
      </w:r>
      <w:r w:rsidR="00E10E5E">
        <w:t xml:space="preserve"> </w:t>
      </w:r>
      <w:r>
        <w:t>unusually high or low weights in some categories</w:t>
      </w:r>
      <w:r w:rsidR="00E10E5E">
        <w:t xml:space="preserve">. </w:t>
      </w:r>
    </w:p>
    <w:p w14:paraId="33D24A4C" w14:textId="77777777" w:rsidR="00E10E5E" w:rsidRDefault="00E10E5E" w:rsidP="00A3194F">
      <w:pPr>
        <w:spacing w:after="240"/>
      </w:pPr>
      <w:r>
        <w:t xml:space="preserve">The fundamental objective of our </w:t>
      </w:r>
      <w:r w:rsidR="00117C13">
        <w:t xml:space="preserve">CODI-PQ </w:t>
      </w:r>
      <w:r>
        <w:t xml:space="preserve">is to </w:t>
      </w:r>
      <w:r w:rsidR="00117C13">
        <w:t xml:space="preserve">provide </w:t>
      </w:r>
      <w:r>
        <w:t xml:space="preserve">statistics that </w:t>
      </w:r>
      <w:r w:rsidR="00117C13">
        <w:t>reduce</w:t>
      </w:r>
      <w:r>
        <w:t xml:space="preserve"> </w:t>
      </w:r>
      <w:r w:rsidR="00117C13">
        <w:t>bias</w:t>
      </w:r>
      <w:r>
        <w:t xml:space="preserve"> and </w:t>
      </w:r>
      <w:r w:rsidR="00117C13">
        <w:t xml:space="preserve">are </w:t>
      </w:r>
      <w:r>
        <w:t xml:space="preserve">sufficiently precise to satisfy the goals of the expected analyses of the data. In general, the goal is to keep the mean square error (MSE) of the primary statistics of interest as low as possible. The MSE of a survey estimate is </w:t>
      </w:r>
    </w:p>
    <w:p w14:paraId="329B91BE" w14:textId="77777777" w:rsidR="00E10E5E" w:rsidRDefault="00E10E5E" w:rsidP="00A3194F">
      <w:pPr>
        <w:spacing w:after="240"/>
        <w:jc w:val="center"/>
      </w:pPr>
      <w:r>
        <w:t>MSE = Variance + (Bias)</w:t>
      </w:r>
      <w:r w:rsidR="00E5739D" w:rsidRPr="00A3194F">
        <w:rPr>
          <w:vertAlign w:val="superscript"/>
        </w:rPr>
        <w:t>2</w:t>
      </w:r>
      <w:r>
        <w:t>.</w:t>
      </w:r>
    </w:p>
    <w:p w14:paraId="60EA8ED1" w14:textId="77777777" w:rsidR="00E10E5E" w:rsidRDefault="00E10E5E" w:rsidP="00A3194F">
      <w:pPr>
        <w:spacing w:after="240"/>
      </w:pPr>
      <w:r>
        <w:t>The purpose of weighting adjustments is to reduce bias. Thus, the application of weighting adjustments usually results in lower bias in the associated survey statistics, but at the same time adjustments may result in some increases in variances of the survey estimates</w:t>
      </w:r>
      <w:r w:rsidR="00EA6D4C">
        <w:t xml:space="preserve"> when compared with crude variances</w:t>
      </w:r>
      <w:r>
        <w:t xml:space="preserve">. </w:t>
      </w:r>
    </w:p>
    <w:p w14:paraId="2175D6E6" w14:textId="470127AB" w:rsidR="00E10E5E" w:rsidRDefault="00E10E5E" w:rsidP="00A3194F">
      <w:pPr>
        <w:spacing w:after="240"/>
      </w:pPr>
      <w:r>
        <w:t>The increases in variance result from the added variability in the sampling weights due to the</w:t>
      </w:r>
      <w:r w:rsidR="00EA6D4C">
        <w:t xml:space="preserve"> </w:t>
      </w:r>
      <w:r>
        <w:t xml:space="preserve">adjustments. Thus, the </w:t>
      </w:r>
      <w:r w:rsidR="00EA6D4C">
        <w:t>researcher</w:t>
      </w:r>
      <w:r>
        <w:t xml:space="preserve"> who use</w:t>
      </w:r>
      <w:r w:rsidR="00EA6D4C">
        <w:t>s</w:t>
      </w:r>
      <w:r>
        <w:t xml:space="preserve"> the weights </w:t>
      </w:r>
      <w:r w:rsidR="00EA6D4C">
        <w:t xml:space="preserve">should review </w:t>
      </w:r>
      <w:r>
        <w:t xml:space="preserve">the variability in the </w:t>
      </w:r>
      <w:r>
        <w:lastRenderedPageBreak/>
        <w:t>sampling weights caused by these adjustments.</w:t>
      </w:r>
      <w:r w:rsidR="00EA6D4C">
        <w:t xml:space="preserve"> A</w:t>
      </w:r>
      <w:r>
        <w:t xml:space="preserve"> trade</w:t>
      </w:r>
      <w:r w:rsidR="00693B03">
        <w:t>-</w:t>
      </w:r>
      <w:r>
        <w:t xml:space="preserve">off is made between variance and bias to keep the MSE as low as possible. </w:t>
      </w:r>
      <w:r w:rsidR="00EA6D4C">
        <w:t>T</w:t>
      </w:r>
      <w:r>
        <w:t>here is no exact rule for this trade</w:t>
      </w:r>
      <w:r w:rsidR="00693B03">
        <w:t>-</w:t>
      </w:r>
      <w:r>
        <w:t>off because the amount of bias is unknown.</w:t>
      </w:r>
      <w:r w:rsidR="00305C6B">
        <w:t xml:space="preserve"> </w:t>
      </w:r>
    </w:p>
    <w:p w14:paraId="03777D9D" w14:textId="77777777" w:rsidR="00602B54" w:rsidRDefault="00602B54" w:rsidP="00A3194F">
      <w:pPr>
        <w:pStyle w:val="AppHeading2"/>
      </w:pPr>
      <w:bookmarkStart w:id="101" w:name="_Toc46395257"/>
      <w:r>
        <w:t>Social Determinants of Health</w:t>
      </w:r>
      <w:bookmarkEnd w:id="101"/>
    </w:p>
    <w:p w14:paraId="64A90ACC" w14:textId="052134FE" w:rsidR="00602B54" w:rsidRDefault="00602B54" w:rsidP="00A3194F">
      <w:pPr>
        <w:spacing w:before="240"/>
      </w:pPr>
      <w:r>
        <w:rPr>
          <w:rFonts w:eastAsia="Verdana"/>
        </w:rPr>
        <w:t xml:space="preserve">The statistical weights cell formulation is based on the </w:t>
      </w:r>
      <w:r w:rsidRPr="007E3FD9">
        <w:rPr>
          <w:rFonts w:eastAsia="Verdana"/>
        </w:rPr>
        <w:t xml:space="preserve">Childhood Obesity Data Initiative – Social Determinants of Health </w:t>
      </w:r>
      <w:r w:rsidR="00693B03">
        <w:rPr>
          <w:rFonts w:eastAsia="Verdana"/>
        </w:rPr>
        <w:t xml:space="preserve">(SDOH) </w:t>
      </w:r>
      <w:r w:rsidRPr="007E3FD9">
        <w:rPr>
          <w:rFonts w:eastAsia="Verdana"/>
        </w:rPr>
        <w:t>Prioritization</w:t>
      </w:r>
      <w:r>
        <w:rPr>
          <w:rFonts w:eastAsia="Verdana"/>
        </w:rPr>
        <w:t xml:space="preserve"> report</w:t>
      </w:r>
      <w:r>
        <w:rPr>
          <w:rStyle w:val="FootnoteReference"/>
          <w:rFonts w:eastAsia="Verdana"/>
        </w:rPr>
        <w:footnoteReference w:id="11"/>
      </w:r>
      <w:r>
        <w:rPr>
          <w:rFonts w:eastAsia="Verdana"/>
        </w:rPr>
        <w:t xml:space="preserve"> as well as other artifacts. The SDOH report was </w:t>
      </w:r>
      <w:r w:rsidRPr="009A399C">
        <w:rPr>
          <w:rFonts w:eastAsia="Verdana"/>
        </w:rPr>
        <w:t>developed in partnership between the Health FFRDC and CDC, with feedback from leading health researchers</w:t>
      </w:r>
      <w:r>
        <w:t xml:space="preserve">. </w:t>
      </w:r>
      <w:r w:rsidR="00F07028">
        <w:t>Table 4</w:t>
      </w:r>
      <w:r w:rsidR="00FC0A18">
        <w:t xml:space="preserve"> presents the finalized list of </w:t>
      </w:r>
      <w:r>
        <w:t>obesity</w:t>
      </w:r>
      <w:r w:rsidR="00FC0A18">
        <w:t>-related</w:t>
      </w:r>
      <w:r>
        <w:t xml:space="preserve"> social determinants of health</w:t>
      </w:r>
      <w:r w:rsidR="00FC0A18">
        <w:t xml:space="preserve"> used in the</w:t>
      </w:r>
      <w:r w:rsidR="00DF69C3">
        <w:t xml:space="preserve"> CODI-PQ</w:t>
      </w:r>
      <w:r>
        <w:t>.</w:t>
      </w:r>
    </w:p>
    <w:p w14:paraId="441023AD" w14:textId="1067728D" w:rsidR="00605C7D" w:rsidRDefault="009A1B7A" w:rsidP="00A3194F">
      <w:pPr>
        <w:pStyle w:val="Caption"/>
        <w:keepNext/>
        <w:spacing w:before="240"/>
      </w:pPr>
      <w:bookmarkStart w:id="102" w:name="_Toc46395269"/>
      <w:r>
        <w:t xml:space="preserve">Table </w:t>
      </w:r>
      <w:r w:rsidR="00827BFE">
        <w:rPr>
          <w:noProof/>
        </w:rPr>
        <w:fldChar w:fldCharType="begin"/>
      </w:r>
      <w:r w:rsidR="00827BFE">
        <w:rPr>
          <w:noProof/>
        </w:rPr>
        <w:instrText xml:space="preserve"> SEQ Table \* ARABIC </w:instrText>
      </w:r>
      <w:r w:rsidR="00827BFE">
        <w:rPr>
          <w:noProof/>
        </w:rPr>
        <w:fldChar w:fldCharType="separate"/>
      </w:r>
      <w:r>
        <w:rPr>
          <w:noProof/>
        </w:rPr>
        <w:t>4</w:t>
      </w:r>
      <w:r w:rsidR="00827BFE">
        <w:rPr>
          <w:noProof/>
        </w:rPr>
        <w:fldChar w:fldCharType="end"/>
      </w:r>
      <w:r>
        <w:t xml:space="preserve">. </w:t>
      </w:r>
      <w:r w:rsidR="00605C7D">
        <w:t>Final List of Prioritized Social Determinants of Health</w:t>
      </w:r>
      <w:bookmarkEnd w:id="102"/>
    </w:p>
    <w:p w14:paraId="2DAB3496" w14:textId="3746B0F9" w:rsidR="009A1B7A" w:rsidRDefault="009A1B7A" w:rsidP="001C5159">
      <w:pPr>
        <w:pStyle w:val="Caption"/>
        <w:keepNext/>
      </w:pPr>
    </w:p>
    <w:tbl>
      <w:tblPr>
        <w:tblStyle w:val="GridTable1Light-Accent1"/>
        <w:tblW w:w="4620" w:type="pct"/>
        <w:tblLook w:val="0420" w:firstRow="1" w:lastRow="0" w:firstColumn="0" w:lastColumn="0" w:noHBand="0" w:noVBand="1"/>
        <w:tblCaption w:val="Table 3. Social Determinants of Health: Summary of Findings"/>
        <w:tblDescription w:val="A table with four columns reading from left to right: Rank, Concept, Measure, Source."/>
      </w:tblPr>
      <w:tblGrid>
        <w:gridCol w:w="2865"/>
        <w:gridCol w:w="2901"/>
        <w:gridCol w:w="2873"/>
      </w:tblGrid>
      <w:tr w:rsidR="00602B54" w:rsidRPr="00300A23" w14:paraId="29207018" w14:textId="77777777" w:rsidTr="001C5159">
        <w:trPr>
          <w:cnfStyle w:val="100000000000" w:firstRow="1" w:lastRow="0" w:firstColumn="0" w:lastColumn="0" w:oddVBand="0" w:evenVBand="0" w:oddHBand="0" w:evenHBand="0" w:firstRowFirstColumn="0" w:firstRowLastColumn="0" w:lastRowFirstColumn="0" w:lastRowLastColumn="0"/>
          <w:trHeight w:val="315"/>
        </w:trPr>
        <w:tc>
          <w:tcPr>
            <w:tcW w:w="1658" w:type="pct"/>
            <w:hideMark/>
          </w:tcPr>
          <w:p w14:paraId="3A358F72" w14:textId="77777777" w:rsidR="00602B54" w:rsidRPr="00300A23" w:rsidRDefault="00602B54" w:rsidP="00A3194F">
            <w:pPr>
              <w:pStyle w:val="TableColumnHeading"/>
              <w:jc w:val="left"/>
            </w:pPr>
            <w:r w:rsidRPr="00300A23">
              <w:rPr>
                <w:b/>
              </w:rPr>
              <w:t>Concept</w:t>
            </w:r>
          </w:p>
        </w:tc>
        <w:tc>
          <w:tcPr>
            <w:tcW w:w="1679" w:type="pct"/>
            <w:hideMark/>
          </w:tcPr>
          <w:p w14:paraId="33CCDBF6" w14:textId="77777777" w:rsidR="00602B54" w:rsidRPr="00300A23" w:rsidRDefault="00602B54" w:rsidP="00A3194F">
            <w:pPr>
              <w:pStyle w:val="TableColumnHeading"/>
              <w:jc w:val="left"/>
            </w:pPr>
            <w:r>
              <w:rPr>
                <w:b/>
              </w:rPr>
              <w:t>Measure</w:t>
            </w:r>
          </w:p>
        </w:tc>
        <w:tc>
          <w:tcPr>
            <w:tcW w:w="1663" w:type="pct"/>
          </w:tcPr>
          <w:p w14:paraId="551F3426" w14:textId="77777777" w:rsidR="00602B54" w:rsidRDefault="00602B54" w:rsidP="00A3194F">
            <w:pPr>
              <w:pStyle w:val="TableColumnHeading"/>
              <w:jc w:val="left"/>
            </w:pPr>
            <w:r>
              <w:rPr>
                <w:b/>
              </w:rPr>
              <w:t>Source</w:t>
            </w:r>
          </w:p>
        </w:tc>
      </w:tr>
      <w:tr w:rsidR="00602B54" w:rsidRPr="00300A23" w14:paraId="279FE39F" w14:textId="77777777" w:rsidTr="001C5159">
        <w:trPr>
          <w:trHeight w:val="315"/>
        </w:trPr>
        <w:tc>
          <w:tcPr>
            <w:tcW w:w="1658" w:type="pct"/>
            <w:hideMark/>
          </w:tcPr>
          <w:p w14:paraId="5C791DD6" w14:textId="77777777" w:rsidR="00602B54" w:rsidRPr="00300A23" w:rsidRDefault="00602B54" w:rsidP="00A3194F">
            <w:pPr>
              <w:pStyle w:val="TableTextSmaller"/>
            </w:pPr>
            <w:r w:rsidRPr="00300A23">
              <w:t>Age </w:t>
            </w:r>
          </w:p>
        </w:tc>
        <w:tc>
          <w:tcPr>
            <w:tcW w:w="1679" w:type="pct"/>
            <w:hideMark/>
          </w:tcPr>
          <w:p w14:paraId="2D7A81C5" w14:textId="77777777" w:rsidR="00602B54" w:rsidRPr="00300A23" w:rsidRDefault="00602B54" w:rsidP="00A3194F">
            <w:pPr>
              <w:pStyle w:val="TableTextSmaller"/>
            </w:pPr>
            <w:r>
              <w:t>Age of child, c</w:t>
            </w:r>
            <w:r w:rsidRPr="00282D3A">
              <w:t>ontinuous</w:t>
            </w:r>
          </w:p>
        </w:tc>
        <w:tc>
          <w:tcPr>
            <w:tcW w:w="1663" w:type="pct"/>
          </w:tcPr>
          <w:p w14:paraId="4FD1330A" w14:textId="77777777" w:rsidR="00602B54" w:rsidRPr="00282D3A" w:rsidRDefault="00602B54" w:rsidP="00A3194F">
            <w:pPr>
              <w:pStyle w:val="TableTextSmaller"/>
            </w:pPr>
            <w:r>
              <w:t>EHR</w:t>
            </w:r>
          </w:p>
        </w:tc>
      </w:tr>
      <w:tr w:rsidR="00602B54" w:rsidRPr="00300A23" w14:paraId="072E95FC" w14:textId="77777777" w:rsidTr="001C5159">
        <w:trPr>
          <w:trHeight w:val="315"/>
        </w:trPr>
        <w:tc>
          <w:tcPr>
            <w:tcW w:w="1658" w:type="pct"/>
            <w:hideMark/>
          </w:tcPr>
          <w:p w14:paraId="3BEC0E33" w14:textId="77777777" w:rsidR="00602B54" w:rsidRPr="00300A23" w:rsidRDefault="00602B54" w:rsidP="00A3194F">
            <w:pPr>
              <w:pStyle w:val="TableTextSmaller"/>
            </w:pPr>
            <w:r w:rsidRPr="00300A23">
              <w:t>Race</w:t>
            </w:r>
          </w:p>
        </w:tc>
        <w:tc>
          <w:tcPr>
            <w:tcW w:w="1679" w:type="pct"/>
            <w:hideMark/>
          </w:tcPr>
          <w:p w14:paraId="69E98049" w14:textId="77777777" w:rsidR="00602B54" w:rsidRPr="00300A23" w:rsidRDefault="00602B54" w:rsidP="00A3194F">
            <w:pPr>
              <w:pStyle w:val="TableTextSmaller"/>
            </w:pPr>
            <w:r w:rsidRPr="000E4162">
              <w:t xml:space="preserve">Individual </w:t>
            </w:r>
            <w:r>
              <w:t>race</w:t>
            </w:r>
            <w:r w:rsidRPr="000E4162">
              <w:t>, categorical</w:t>
            </w:r>
          </w:p>
        </w:tc>
        <w:tc>
          <w:tcPr>
            <w:tcW w:w="1663" w:type="pct"/>
          </w:tcPr>
          <w:p w14:paraId="3DEB4E7B" w14:textId="77777777" w:rsidR="00602B54" w:rsidRPr="00300A23" w:rsidRDefault="00602B54" w:rsidP="00A3194F">
            <w:pPr>
              <w:pStyle w:val="TableTextSmaller"/>
            </w:pPr>
            <w:r>
              <w:t>EHR</w:t>
            </w:r>
          </w:p>
        </w:tc>
      </w:tr>
      <w:tr w:rsidR="00602B54" w:rsidRPr="00300A23" w14:paraId="6F4BBC07" w14:textId="77777777" w:rsidTr="001C5159">
        <w:trPr>
          <w:trHeight w:val="315"/>
        </w:trPr>
        <w:tc>
          <w:tcPr>
            <w:tcW w:w="1658" w:type="pct"/>
            <w:hideMark/>
          </w:tcPr>
          <w:p w14:paraId="213C9B19" w14:textId="77777777" w:rsidR="00602B54" w:rsidRPr="00300A23" w:rsidRDefault="00602B54" w:rsidP="00A3194F">
            <w:pPr>
              <w:pStyle w:val="TableTextSmaller"/>
            </w:pPr>
            <w:r w:rsidRPr="00300A23">
              <w:t>Sex</w:t>
            </w:r>
          </w:p>
        </w:tc>
        <w:tc>
          <w:tcPr>
            <w:tcW w:w="1679" w:type="pct"/>
            <w:hideMark/>
          </w:tcPr>
          <w:p w14:paraId="2D16CA8D" w14:textId="77777777" w:rsidR="00602B54" w:rsidRPr="00300A23" w:rsidRDefault="00602B54" w:rsidP="00A3194F">
            <w:pPr>
              <w:pStyle w:val="TableTextSmaller"/>
            </w:pPr>
            <w:r w:rsidRPr="000E4162">
              <w:t>Individual sex, categorical</w:t>
            </w:r>
          </w:p>
        </w:tc>
        <w:tc>
          <w:tcPr>
            <w:tcW w:w="1663" w:type="pct"/>
          </w:tcPr>
          <w:p w14:paraId="5E654D1A" w14:textId="77777777" w:rsidR="00602B54" w:rsidRPr="00300A23" w:rsidRDefault="00602B54" w:rsidP="00A3194F">
            <w:pPr>
              <w:pStyle w:val="TableTextSmaller"/>
            </w:pPr>
            <w:r>
              <w:t>EHR</w:t>
            </w:r>
          </w:p>
        </w:tc>
      </w:tr>
      <w:tr w:rsidR="00602B54" w:rsidRPr="00300A23" w14:paraId="455531BF" w14:textId="77777777" w:rsidTr="001C5159">
        <w:trPr>
          <w:trHeight w:val="439"/>
        </w:trPr>
        <w:tc>
          <w:tcPr>
            <w:tcW w:w="1658" w:type="pct"/>
            <w:hideMark/>
          </w:tcPr>
          <w:p w14:paraId="477953BA" w14:textId="77777777" w:rsidR="00602B54" w:rsidRPr="00300A23" w:rsidRDefault="00602B54" w:rsidP="00A3194F">
            <w:pPr>
              <w:pStyle w:val="TableTextSmaller"/>
            </w:pPr>
            <w:r w:rsidRPr="00300A23">
              <w:t>Education</w:t>
            </w:r>
          </w:p>
        </w:tc>
        <w:tc>
          <w:tcPr>
            <w:tcW w:w="1679" w:type="pct"/>
            <w:hideMark/>
          </w:tcPr>
          <w:p w14:paraId="148DD1BA" w14:textId="77777777" w:rsidR="00602B54" w:rsidRPr="00300A23" w:rsidRDefault="00602B54" w:rsidP="00A3194F">
            <w:pPr>
              <w:pStyle w:val="TableTextSmaller"/>
            </w:pPr>
            <w:r w:rsidRPr="00282D3A">
              <w:t>Educational</w:t>
            </w:r>
            <w:r>
              <w:t xml:space="preserve"> attainment of population age 25</w:t>
            </w:r>
            <w:r w:rsidRPr="00282D3A">
              <w:t xml:space="preserve"> to 64 years of age</w:t>
            </w:r>
          </w:p>
        </w:tc>
        <w:tc>
          <w:tcPr>
            <w:tcW w:w="1663" w:type="pct"/>
          </w:tcPr>
          <w:p w14:paraId="1FB3872B" w14:textId="4B771D40" w:rsidR="00602B54" w:rsidRPr="00300A23" w:rsidRDefault="00602B54" w:rsidP="00A3194F">
            <w:pPr>
              <w:pStyle w:val="TableTextSmaller"/>
            </w:pPr>
            <w:r>
              <w:t>ACS</w:t>
            </w:r>
          </w:p>
        </w:tc>
      </w:tr>
    </w:tbl>
    <w:p w14:paraId="03EDDF1A" w14:textId="77777777" w:rsidR="00FB1979" w:rsidRDefault="00FB1979" w:rsidP="00A3194F">
      <w:pPr>
        <w:pStyle w:val="AppHeading2"/>
      </w:pPr>
      <w:bookmarkStart w:id="103" w:name="_Toc46395258"/>
      <w:r>
        <w:t>Standard Error</w:t>
      </w:r>
      <w:bookmarkEnd w:id="103"/>
    </w:p>
    <w:p w14:paraId="579498A0" w14:textId="2A606E23" w:rsidR="00FB1979" w:rsidRDefault="00FB1979" w:rsidP="00A3194F">
      <w:r w:rsidRPr="00FB1979">
        <w:t>The precision of a sample can be measured using a variety of methods, including the standard error, confidence interval, and the margin of error.</w:t>
      </w:r>
      <w:r>
        <w:t xml:space="preserve"> </w:t>
      </w:r>
      <w:r w:rsidRPr="00FB1979">
        <w:t xml:space="preserve">The </w:t>
      </w:r>
      <w:r>
        <w:t xml:space="preserve">standard error is the </w:t>
      </w:r>
      <w:r w:rsidRPr="00FB1979">
        <w:t>most commonly used measure of the precision of an estimate</w:t>
      </w:r>
      <w:r w:rsidR="00B31338">
        <w:t>, and provides a</w:t>
      </w:r>
      <w:r w:rsidRPr="00FB1979">
        <w:t xml:space="preserve"> gauge of how close an estimate is likely to be to the population value in the absence of any bias.</w:t>
      </w:r>
      <w:r w:rsidR="00F21EB2">
        <w:t xml:space="preserve"> </w:t>
      </w:r>
      <w:r>
        <w:t xml:space="preserve">See </w:t>
      </w:r>
      <w:r w:rsidR="00936181">
        <w:t xml:space="preserve">Appendix A. Variance Estimation </w:t>
      </w:r>
      <w:r>
        <w:t xml:space="preserve">for more information. </w:t>
      </w:r>
    </w:p>
    <w:p w14:paraId="7AB00418" w14:textId="77777777" w:rsidR="00DA45D4" w:rsidRDefault="00DA45D4" w:rsidP="00A3194F">
      <w:pPr>
        <w:pStyle w:val="AppHeading2"/>
      </w:pPr>
      <w:bookmarkStart w:id="104" w:name="_Toc46395259"/>
      <w:r>
        <w:t>Suppression</w:t>
      </w:r>
      <w:bookmarkEnd w:id="104"/>
    </w:p>
    <w:p w14:paraId="4D9A01FB" w14:textId="29694366" w:rsidR="00DA45D4" w:rsidRDefault="00DA45D4" w:rsidP="00A3194F">
      <w:pPr>
        <w:spacing w:after="240"/>
      </w:pPr>
      <w:r>
        <w:t xml:space="preserve">Prevalence estimates may be suppressed. </w:t>
      </w:r>
      <w:r w:rsidR="00A84F79">
        <w:t>The CODI-PQ</w:t>
      </w:r>
      <w:r w:rsidR="00F17E55">
        <w:t xml:space="preserve"> </w:t>
      </w:r>
      <w:r w:rsidR="00F17E55" w:rsidRPr="00F17E55">
        <w:t xml:space="preserve">method </w:t>
      </w:r>
      <w:r w:rsidR="00F17E55">
        <w:t xml:space="preserve">for data suppression is based on the </w:t>
      </w:r>
      <w:r w:rsidR="00F17E55" w:rsidRPr="00F17E55">
        <w:t>NCHS data presentation standards for reporting proportions in NCHS reports and data products</w:t>
      </w:r>
      <w:r w:rsidR="00F321F0">
        <w:t xml:space="preserve"> (Parker</w:t>
      </w:r>
      <w:r w:rsidR="00EE6301">
        <w:t xml:space="preserve"> et al.</w:t>
      </w:r>
      <w:r w:rsidR="00F321F0">
        <w:t>, 2017)</w:t>
      </w:r>
      <w:r w:rsidR="00F17E55" w:rsidRPr="00F17E55">
        <w:t>. This method was developed by the Data Suppression Workgroup at NCHS.</w:t>
      </w:r>
    </w:p>
    <w:p w14:paraId="284ADE5D" w14:textId="7AA07153" w:rsidR="00F17E55" w:rsidRDefault="00F17E55" w:rsidP="00A3194F">
      <w:pPr>
        <w:spacing w:after="240"/>
      </w:pPr>
      <w:r w:rsidRPr="00F17E55">
        <w:t xml:space="preserve">The multistep NCHS Data Presentation Standards for Proportions are based on a minimum denominator sample size and on the absolute and relative widths of a confidence interval calculated using the Clopper-Pearson method. The NCHS Data Presentation Standards for Proportions </w:t>
      </w:r>
      <w:r w:rsidR="00693B03">
        <w:t xml:space="preserve">are </w:t>
      </w:r>
      <w:r w:rsidRPr="00F17E55">
        <w:t xml:space="preserve">applied to all </w:t>
      </w:r>
      <w:r w:rsidR="00B8378C">
        <w:t>CODI-PQ output</w:t>
      </w:r>
      <w:r w:rsidRPr="00F17E55">
        <w:t xml:space="preserve">. Using these </w:t>
      </w:r>
      <w:r w:rsidR="00A84F79">
        <w:t>s</w:t>
      </w:r>
      <w:r w:rsidRPr="00F17E55">
        <w:t>tandards, some estimates will be identified as suppressed</w:t>
      </w:r>
      <w:r w:rsidR="00B8378C">
        <w:t xml:space="preserve">. Based on the criteria described in the </w:t>
      </w:r>
      <w:r w:rsidR="00A84F79">
        <w:t>s</w:t>
      </w:r>
      <w:r w:rsidR="00B8378C">
        <w:t>tandards, others may be identified as unreliable</w:t>
      </w:r>
      <w:r w:rsidR="00693B03">
        <w:t>,</w:t>
      </w:r>
      <w:r w:rsidRPr="00F17E55">
        <w:t xml:space="preserve"> and some estimates </w:t>
      </w:r>
      <w:r w:rsidR="00B8378C">
        <w:t xml:space="preserve">may be identified </w:t>
      </w:r>
      <w:r w:rsidRPr="00F17E55">
        <w:t xml:space="preserve">for statistical review. </w:t>
      </w:r>
      <w:r w:rsidR="00B8378C">
        <w:t>The CODI-PQ algorithm suppresses</w:t>
      </w:r>
      <w:r w:rsidR="00693B03" w:rsidRPr="00693B03">
        <w:t xml:space="preserve"> </w:t>
      </w:r>
      <w:r w:rsidR="00693B03">
        <w:t>only</w:t>
      </w:r>
      <w:r w:rsidR="00B8378C">
        <w:t xml:space="preserve"> estimates. It is up to the analyst to identify estimates as unreliable </w:t>
      </w:r>
      <w:r w:rsidR="00B8378C">
        <w:lastRenderedPageBreak/>
        <w:t xml:space="preserve">and/or to perform statistical review prior to publication and use. The </w:t>
      </w:r>
      <w:r w:rsidR="00F07028">
        <w:t>T</w:t>
      </w:r>
      <w:r w:rsidR="00B8378C">
        <w:t>able</w:t>
      </w:r>
      <w:r w:rsidR="00F07028">
        <w:t xml:space="preserve"> 5</w:t>
      </w:r>
      <w:r w:rsidR="00B8378C">
        <w:t xml:space="preserve"> </w:t>
      </w:r>
      <w:r w:rsidR="00F07028">
        <w:t>and F</w:t>
      </w:r>
      <w:r w:rsidR="00F321F0">
        <w:t>igure</w:t>
      </w:r>
      <w:r w:rsidR="00F07028">
        <w:t xml:space="preserve"> 1</w:t>
      </w:r>
      <w:r w:rsidR="00F321F0">
        <w:t xml:space="preserve"> </w:t>
      </w:r>
      <w:r w:rsidR="00B8378C">
        <w:t>briefly describe the Standards</w:t>
      </w:r>
      <w:r w:rsidR="00F321F0">
        <w:t>.</w:t>
      </w:r>
    </w:p>
    <w:p w14:paraId="778C887E" w14:textId="4607CCAC" w:rsidR="002C6F9C" w:rsidRDefault="002C6F9C" w:rsidP="00A3194F">
      <w:pPr>
        <w:spacing w:after="240"/>
      </w:pPr>
      <w:r>
        <w:t>If one or more row</w:t>
      </w:r>
      <w:r w:rsidR="00693B03">
        <w:t>s</w:t>
      </w:r>
      <w:r>
        <w:t xml:space="preserve"> is suppressed, the user may choose to increase their research criteria</w:t>
      </w:r>
      <w:r w:rsidR="00154ACC">
        <w:t xml:space="preserve"> by</w:t>
      </w:r>
      <w:r>
        <w:t xml:space="preserve"> including additional years of data, increasing the geography, or including more age, race, or sex categories.</w:t>
      </w:r>
    </w:p>
    <w:p w14:paraId="47907764" w14:textId="5090DF7D" w:rsidR="00A84F79" w:rsidRDefault="009A1B7A" w:rsidP="00A3194F">
      <w:pPr>
        <w:pStyle w:val="Caption"/>
        <w:keepNext/>
      </w:pPr>
      <w:bookmarkStart w:id="105" w:name="_Toc46395270"/>
      <w:r>
        <w:t xml:space="preserve">Table </w:t>
      </w:r>
      <w:r w:rsidR="00827BFE">
        <w:rPr>
          <w:noProof/>
        </w:rPr>
        <w:fldChar w:fldCharType="begin"/>
      </w:r>
      <w:r w:rsidR="00827BFE">
        <w:rPr>
          <w:noProof/>
        </w:rPr>
        <w:instrText xml:space="preserve"> SEQ Table \* ARABIC </w:instrText>
      </w:r>
      <w:r w:rsidR="00827BFE">
        <w:rPr>
          <w:noProof/>
        </w:rPr>
        <w:fldChar w:fldCharType="separate"/>
      </w:r>
      <w:r>
        <w:rPr>
          <w:noProof/>
        </w:rPr>
        <w:t>5</w:t>
      </w:r>
      <w:r w:rsidR="00827BFE">
        <w:rPr>
          <w:noProof/>
        </w:rPr>
        <w:fldChar w:fldCharType="end"/>
      </w:r>
      <w:r w:rsidR="00A84F79">
        <w:t>. NCHS Data Presentation Standards for Proportions</w:t>
      </w:r>
      <w:bookmarkEnd w:id="105"/>
    </w:p>
    <w:tbl>
      <w:tblPr>
        <w:tblStyle w:val="GridTable1Light-Accent1"/>
        <w:tblW w:w="0" w:type="auto"/>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559"/>
      </w:tblGrid>
      <w:tr w:rsidR="00F17E55" w:rsidRPr="00B8378C" w14:paraId="076ABB0A" w14:textId="77777777" w:rsidTr="001C5159">
        <w:trPr>
          <w:cnfStyle w:val="100000000000" w:firstRow="1" w:lastRow="0" w:firstColumn="0" w:lastColumn="0" w:oddVBand="0" w:evenVBand="0" w:oddHBand="0" w:evenHBand="0" w:firstRowFirstColumn="0" w:firstRowLastColumn="0" w:lastRowFirstColumn="0" w:lastRowLastColumn="0"/>
          <w:trHeight w:val="290"/>
          <w:tblHeader/>
        </w:trPr>
        <w:tc>
          <w:tcPr>
            <w:tcW w:w="1791" w:type="dxa"/>
          </w:tcPr>
          <w:p w14:paraId="0C4105EE" w14:textId="77777777" w:rsidR="00F17E55" w:rsidRPr="00A3194F" w:rsidRDefault="00F17E55" w:rsidP="00A3194F">
            <w:pPr>
              <w:pStyle w:val="TableColumnHeading"/>
              <w:jc w:val="left"/>
              <w:rPr>
                <w:bCs w:val="0"/>
              </w:rPr>
            </w:pPr>
            <w:r w:rsidRPr="00A3194F">
              <w:rPr>
                <w:b/>
              </w:rPr>
              <w:t>Statistic</w:t>
            </w:r>
          </w:p>
        </w:tc>
        <w:tc>
          <w:tcPr>
            <w:tcW w:w="7559" w:type="dxa"/>
          </w:tcPr>
          <w:p w14:paraId="358D43B1" w14:textId="77777777" w:rsidR="00F17E55" w:rsidRPr="00A3194F" w:rsidRDefault="00F17E55" w:rsidP="00A3194F">
            <w:pPr>
              <w:pStyle w:val="TableColumnHeading"/>
              <w:jc w:val="left"/>
              <w:rPr>
                <w:bCs w:val="0"/>
              </w:rPr>
            </w:pPr>
            <w:r w:rsidRPr="00A3194F">
              <w:rPr>
                <w:b/>
              </w:rPr>
              <w:t>Standard</w:t>
            </w:r>
          </w:p>
        </w:tc>
      </w:tr>
      <w:tr w:rsidR="00F17E55" w:rsidRPr="00B8378C" w14:paraId="288339D9" w14:textId="77777777" w:rsidTr="00A3194F">
        <w:trPr>
          <w:trHeight w:val="1383"/>
        </w:trPr>
        <w:tc>
          <w:tcPr>
            <w:tcW w:w="1791" w:type="dxa"/>
          </w:tcPr>
          <w:p w14:paraId="24962B07" w14:textId="77777777" w:rsidR="00F17E55" w:rsidRPr="00A3194F" w:rsidRDefault="00F17E55" w:rsidP="00A3194F">
            <w:pPr>
              <w:pStyle w:val="TableTextSmaller"/>
            </w:pPr>
            <w:r w:rsidRPr="00A3194F">
              <w:t>Sample Size</w:t>
            </w:r>
          </w:p>
        </w:tc>
        <w:tc>
          <w:tcPr>
            <w:tcW w:w="7559" w:type="dxa"/>
          </w:tcPr>
          <w:p w14:paraId="2FFD6E75" w14:textId="3DF2B6B5" w:rsidR="00F17E55" w:rsidRPr="00A3194F" w:rsidRDefault="00F17E55" w:rsidP="00A3194F">
            <w:pPr>
              <w:pStyle w:val="TableTextSmaller"/>
            </w:pPr>
            <w:r w:rsidRPr="00A3194F">
              <w:t>Estimated proportions should be based on a minimum denominator sample size and effective denominator sample size (when applicable) of 30. Estimates with either a denominator sample size or an effective denominator sample size (when applicable) less than 30 should be suppressed. If the number of events is 0 (or its complement</w:t>
            </w:r>
            <w:r w:rsidR="00AF2CE7">
              <w:rPr>
                <w:rStyle w:val="FootnoteReference"/>
              </w:rPr>
              <w:footnoteReference w:id="12"/>
            </w:r>
            <w:r w:rsidRPr="00A3194F">
              <w:t xml:space="preserve">), then the denominator sample size should be used to obtain confidence intervals. If all other criteria are met for presentation, an estimate based on 0 events (or its complement) should be flagged for statistical review by the clearance official. The review could result in either the presentation or the suppression of the proportion. </w:t>
            </w:r>
          </w:p>
        </w:tc>
      </w:tr>
      <w:tr w:rsidR="00F17E55" w:rsidRPr="00B8378C" w14:paraId="6FF732CA" w14:textId="77777777" w:rsidTr="00A3194F">
        <w:trPr>
          <w:trHeight w:val="440"/>
        </w:trPr>
        <w:tc>
          <w:tcPr>
            <w:tcW w:w="1791" w:type="dxa"/>
          </w:tcPr>
          <w:p w14:paraId="4D4F0E47" w14:textId="77777777" w:rsidR="00F17E55" w:rsidRPr="00A3194F" w:rsidRDefault="00F17E55" w:rsidP="00A3194F">
            <w:pPr>
              <w:pStyle w:val="TableTextSmaller"/>
            </w:pPr>
            <w:r w:rsidRPr="00A3194F">
              <w:t>Confidence interval</w:t>
            </w:r>
          </w:p>
        </w:tc>
        <w:tc>
          <w:tcPr>
            <w:tcW w:w="7559" w:type="dxa"/>
          </w:tcPr>
          <w:p w14:paraId="6CE38877" w14:textId="77777777" w:rsidR="00F17E55" w:rsidRPr="00A3194F" w:rsidRDefault="00F17E55" w:rsidP="00A3194F">
            <w:pPr>
              <w:pStyle w:val="TableTextSmaller"/>
            </w:pPr>
            <w:r w:rsidRPr="00A3194F">
              <w:t>If the sample size criterion is met, calculate a 95% two-sided confidence interval using the Clopper-Pearson method, or the Korn-Graubard method for complex surveys, and obtain its width.</w:t>
            </w:r>
          </w:p>
        </w:tc>
      </w:tr>
      <w:tr w:rsidR="00F17E55" w:rsidRPr="00B8378C" w14:paraId="1E71F3D0" w14:textId="77777777" w:rsidTr="00A3194F">
        <w:trPr>
          <w:trHeight w:val="1061"/>
        </w:trPr>
        <w:tc>
          <w:tcPr>
            <w:tcW w:w="1791" w:type="dxa"/>
          </w:tcPr>
          <w:p w14:paraId="79646F6F" w14:textId="437B996E" w:rsidR="00F17E55" w:rsidRPr="00A3194F" w:rsidRDefault="00F17E55" w:rsidP="00A3194F">
            <w:pPr>
              <w:pStyle w:val="TableTextSmaller"/>
              <w:ind w:left="250"/>
            </w:pPr>
            <w:r w:rsidRPr="00A3194F">
              <w:t>Small absolute confi</w:t>
            </w:r>
            <w:r w:rsidR="00B8378C">
              <w:t>d</w:t>
            </w:r>
            <w:r w:rsidRPr="00A3194F">
              <w:t>ence interval width</w:t>
            </w:r>
          </w:p>
        </w:tc>
        <w:tc>
          <w:tcPr>
            <w:tcW w:w="7559" w:type="dxa"/>
          </w:tcPr>
          <w:p w14:paraId="1D13DF80" w14:textId="2358047D" w:rsidR="00F17E55" w:rsidRPr="00A3194F" w:rsidRDefault="00F17E55" w:rsidP="00A3194F">
            <w:pPr>
              <w:pStyle w:val="TableTextSmaller"/>
            </w:pPr>
            <w:r w:rsidRPr="00A3194F">
              <w:t xml:space="preserve">If the absolute confidence interval width is greater than 0.00 and less than or equal to 0.05, then the proportion can be presented if the number of events is greater than 0 and the degrees of freedom criterion (below) is met. If the number of events is 0 (or its complement) or the degrees of freedom criterion is not met, then the estimate should be flagged for statistical review by the clearance official. The review could result in either the presentation or the suppression of the proportion. </w:t>
            </w:r>
          </w:p>
        </w:tc>
      </w:tr>
      <w:tr w:rsidR="00F17E55" w:rsidRPr="00B8378C" w14:paraId="685E0CA1" w14:textId="77777777" w:rsidTr="00A3194F">
        <w:trPr>
          <w:trHeight w:val="581"/>
        </w:trPr>
        <w:tc>
          <w:tcPr>
            <w:tcW w:w="1791" w:type="dxa"/>
          </w:tcPr>
          <w:p w14:paraId="14A342E3" w14:textId="77B9F822" w:rsidR="00F17E55" w:rsidRPr="00A3194F" w:rsidRDefault="00F17E55" w:rsidP="00A3194F">
            <w:pPr>
              <w:pStyle w:val="TableTextSmaller"/>
              <w:ind w:left="250"/>
            </w:pPr>
            <w:r w:rsidRPr="00A3194F">
              <w:t>Large absolute confidence interval width</w:t>
            </w:r>
          </w:p>
        </w:tc>
        <w:tc>
          <w:tcPr>
            <w:tcW w:w="7559" w:type="dxa"/>
          </w:tcPr>
          <w:p w14:paraId="5649CD83" w14:textId="77777777" w:rsidR="00F17E55" w:rsidRPr="00A3194F" w:rsidRDefault="00F17E55" w:rsidP="00A3194F">
            <w:pPr>
              <w:pStyle w:val="TableTextSmaller"/>
            </w:pPr>
            <w:r w:rsidRPr="00A3194F">
              <w:t xml:space="preserve">If the absolute confidence interval width is greater than or equal to 0.30, then the proportion should be suppressed. </w:t>
            </w:r>
          </w:p>
        </w:tc>
      </w:tr>
      <w:tr w:rsidR="00F17E55" w:rsidRPr="00B8378C" w14:paraId="0EEC233F" w14:textId="77777777" w:rsidTr="00A3194F">
        <w:trPr>
          <w:trHeight w:val="611"/>
        </w:trPr>
        <w:tc>
          <w:tcPr>
            <w:tcW w:w="1791" w:type="dxa"/>
          </w:tcPr>
          <w:p w14:paraId="7B1767DB" w14:textId="34713520" w:rsidR="00F17E55" w:rsidRPr="00A3194F" w:rsidRDefault="00F17E55" w:rsidP="00A3194F">
            <w:pPr>
              <w:pStyle w:val="TableTextSmaller"/>
              <w:ind w:left="250"/>
            </w:pPr>
            <w:r w:rsidRPr="00A3194F">
              <w:t>Relative confidence interval width</w:t>
            </w:r>
          </w:p>
        </w:tc>
        <w:tc>
          <w:tcPr>
            <w:tcW w:w="7559" w:type="dxa"/>
          </w:tcPr>
          <w:p w14:paraId="4BF847ED" w14:textId="02B0F4DF" w:rsidR="00F17E55" w:rsidRPr="00A3194F" w:rsidRDefault="00F17E55" w:rsidP="00A3194F">
            <w:pPr>
              <w:pStyle w:val="TableTextSmaller"/>
            </w:pPr>
            <w:r w:rsidRPr="00A3194F">
              <w:t xml:space="preserve">If the absolute confidence interval width is between 0.05 and 0.30 and the relative confidence interval width is more than 130%, then the proportion should be suppressed. </w:t>
            </w:r>
          </w:p>
        </w:tc>
      </w:tr>
      <w:tr w:rsidR="00F17E55" w:rsidRPr="00B8378C" w14:paraId="23EDB8E1" w14:textId="77777777" w:rsidTr="00A3194F">
        <w:trPr>
          <w:trHeight w:val="953"/>
        </w:trPr>
        <w:tc>
          <w:tcPr>
            <w:tcW w:w="1791" w:type="dxa"/>
          </w:tcPr>
          <w:p w14:paraId="1410DAB1" w14:textId="760FE15E" w:rsidR="00F17E55" w:rsidRPr="00A3194F" w:rsidRDefault="00F17E55" w:rsidP="00A3194F">
            <w:pPr>
              <w:pStyle w:val="TableTextSmaller"/>
              <w:ind w:left="250"/>
            </w:pPr>
            <w:r w:rsidRPr="00A3194F">
              <w:t>Relative confidence interval width</w:t>
            </w:r>
          </w:p>
        </w:tc>
        <w:tc>
          <w:tcPr>
            <w:tcW w:w="7559" w:type="dxa"/>
          </w:tcPr>
          <w:p w14:paraId="65A2719E" w14:textId="77777777" w:rsidR="00F17E55" w:rsidRPr="00A3194F" w:rsidRDefault="00F17E55" w:rsidP="00A3194F">
            <w:pPr>
              <w:pStyle w:val="TableTextSmaller"/>
            </w:pPr>
            <w:r w:rsidRPr="00A3194F">
              <w:t xml:space="preserve">If the absolute confidence interval width is between 0.05 and 0.30 and the relative confidence interval width is less than or equal to 130%, then the proportion can be presented if the degrees of freedom criterion below is met. If the degrees of freedom criterion is not met, then the estimate should be flagged for statistical review by the clearance official. The review could result in either the presentation or the suppression of the proportion. </w:t>
            </w:r>
          </w:p>
        </w:tc>
      </w:tr>
      <w:tr w:rsidR="00F17E55" w:rsidRPr="00B8378C" w14:paraId="7CACFC17" w14:textId="77777777" w:rsidTr="00A3194F">
        <w:trPr>
          <w:trHeight w:val="656"/>
        </w:trPr>
        <w:tc>
          <w:tcPr>
            <w:tcW w:w="1791" w:type="dxa"/>
          </w:tcPr>
          <w:p w14:paraId="71DA5A97" w14:textId="77777777" w:rsidR="00F17E55" w:rsidRPr="00A3194F" w:rsidRDefault="00F17E55" w:rsidP="00A3194F">
            <w:pPr>
              <w:pStyle w:val="TableTextSmaller"/>
            </w:pPr>
            <w:r w:rsidRPr="00A3194F">
              <w:t>Degrees of freedom</w:t>
            </w:r>
          </w:p>
        </w:tc>
        <w:tc>
          <w:tcPr>
            <w:tcW w:w="7559" w:type="dxa"/>
          </w:tcPr>
          <w:p w14:paraId="60D23E4D" w14:textId="77777777" w:rsidR="00F17E55" w:rsidRPr="00A3194F" w:rsidRDefault="00F17E55" w:rsidP="00A3194F">
            <w:pPr>
              <w:pStyle w:val="TableTextSmaller"/>
            </w:pPr>
            <w:r w:rsidRPr="00A3194F">
              <w:t xml:space="preserve">When applicable for complex surveys, if the sample size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F17E55" w:rsidRPr="00B8378C" w14:paraId="776A7DE0" w14:textId="77777777" w:rsidTr="00A3194F">
        <w:trPr>
          <w:trHeight w:val="629"/>
        </w:trPr>
        <w:tc>
          <w:tcPr>
            <w:tcW w:w="1791" w:type="dxa"/>
          </w:tcPr>
          <w:p w14:paraId="135002AF" w14:textId="77777777" w:rsidR="00F17E55" w:rsidRPr="00A3194F" w:rsidRDefault="00F17E55" w:rsidP="00A3194F">
            <w:pPr>
              <w:pStyle w:val="TableTextSmaller"/>
            </w:pPr>
            <w:r w:rsidRPr="00A3194F">
              <w:t>Complementary proportions</w:t>
            </w:r>
          </w:p>
        </w:tc>
        <w:tc>
          <w:tcPr>
            <w:tcW w:w="7559" w:type="dxa"/>
          </w:tcPr>
          <w:p w14:paraId="7F839EA8" w14:textId="59AED119" w:rsidR="00F17E55" w:rsidRPr="00A3194F" w:rsidRDefault="00F17E55" w:rsidP="00A3194F">
            <w:pPr>
              <w:pStyle w:val="TableTextSmaller"/>
            </w:pPr>
            <w:r w:rsidRPr="00A3194F">
              <w:t>If all criteria are met for presenting the proportion but not for its complement, then the proportion should be shown. A footnote indicating that the complement of the proportion may be unreliable should be provided.</w:t>
            </w:r>
          </w:p>
        </w:tc>
      </w:tr>
    </w:tbl>
    <w:p w14:paraId="089B4FF7" w14:textId="77777777" w:rsidR="00F321F0" w:rsidRDefault="00F321F0" w:rsidP="00A3194F">
      <w:pPr>
        <w:pStyle w:val="CommentText"/>
      </w:pPr>
    </w:p>
    <w:p w14:paraId="495765A3" w14:textId="77777777" w:rsidR="00F321F0" w:rsidRDefault="00F321F0" w:rsidP="00F321F0">
      <w:pPr>
        <w:keepNext/>
      </w:pPr>
      <w:r>
        <w:rPr>
          <w:noProof/>
        </w:rPr>
        <w:lastRenderedPageBreak/>
        <w:drawing>
          <wp:inline distT="0" distB="0" distL="0" distR="0" wp14:anchorId="557E1BE7" wp14:editId="2B33DBA4">
            <wp:extent cx="7247894" cy="5583045"/>
            <wp:effectExtent l="0" t="5715" r="4445" b="4445"/>
            <wp:docPr id="1" name="Picture 1"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7291198" cy="5616402"/>
                    </a:xfrm>
                    <a:prstGeom prst="rect">
                      <a:avLst/>
                    </a:prstGeom>
                  </pic:spPr>
                </pic:pic>
              </a:graphicData>
            </a:graphic>
          </wp:inline>
        </w:drawing>
      </w:r>
    </w:p>
    <w:p w14:paraId="74A3D627" w14:textId="77777777" w:rsidR="00F321F0" w:rsidRDefault="00F321F0" w:rsidP="00F321F0">
      <w:pPr>
        <w:pStyle w:val="Caption"/>
      </w:pPr>
      <w:bookmarkStart w:id="106" w:name="_Toc46314476"/>
      <w:r>
        <w:t xml:space="preserve">Figure </w:t>
      </w:r>
      <w:r w:rsidR="00977B42">
        <w:rPr>
          <w:noProof/>
        </w:rPr>
        <w:fldChar w:fldCharType="begin"/>
      </w:r>
      <w:r w:rsidR="00977B42">
        <w:rPr>
          <w:noProof/>
        </w:rPr>
        <w:instrText xml:space="preserve"> SEQ Figure \* ARABIC </w:instrText>
      </w:r>
      <w:r w:rsidR="00977B42">
        <w:rPr>
          <w:noProof/>
        </w:rPr>
        <w:fldChar w:fldCharType="separate"/>
      </w:r>
      <w:r>
        <w:rPr>
          <w:noProof/>
        </w:rPr>
        <w:t>1</w:t>
      </w:r>
      <w:r w:rsidR="00977B42">
        <w:rPr>
          <w:noProof/>
        </w:rPr>
        <w:fldChar w:fldCharType="end"/>
      </w:r>
      <w:r>
        <w:t>. NCHS Suppression Standards</w:t>
      </w:r>
      <w:bookmarkEnd w:id="106"/>
    </w:p>
    <w:p w14:paraId="4C5B9A44" w14:textId="77777777" w:rsidR="00F321F0" w:rsidRPr="00050CB1" w:rsidRDefault="00F321F0" w:rsidP="00A3194F">
      <w:pPr>
        <w:pStyle w:val="CommentText"/>
      </w:pPr>
    </w:p>
    <w:p w14:paraId="0FF81A64" w14:textId="39566B23" w:rsidR="000366A7" w:rsidRDefault="000366A7" w:rsidP="00A3194F">
      <w:pPr>
        <w:pStyle w:val="AppHeading2"/>
      </w:pPr>
      <w:bookmarkStart w:id="107" w:name="_Toc46395260"/>
      <w:r>
        <w:lastRenderedPageBreak/>
        <w:t xml:space="preserve">Variance </w:t>
      </w:r>
      <w:r w:rsidR="00AF2CE7">
        <w:t>E</w:t>
      </w:r>
      <w:r>
        <w:t>stimation</w:t>
      </w:r>
      <w:bookmarkEnd w:id="107"/>
      <w:r>
        <w:t xml:space="preserve"> </w:t>
      </w:r>
    </w:p>
    <w:p w14:paraId="2D82D2DE" w14:textId="243A4CF4" w:rsidR="007C5755" w:rsidRDefault="007C5755" w:rsidP="00A3194F">
      <w:pPr>
        <w:spacing w:after="240"/>
        <w:jc w:val="both"/>
      </w:pPr>
      <w:r>
        <w:t xml:space="preserve">Estimated obesity prevalence </w:t>
      </w:r>
      <w:r w:rsidR="00F17E55">
        <w:t xml:space="preserve">is </w:t>
      </w:r>
      <w:r>
        <w:t>derived using the sample weights and data on obesity status</w:t>
      </w:r>
      <w:r w:rsidR="00442B92">
        <w:t xml:space="preserve">. </w:t>
      </w:r>
      <w:r>
        <w:t xml:space="preserve">Obesity prevalence is a ratio, and the ratio estimator, </w:t>
      </w:r>
      <m:oMath>
        <m:acc>
          <m:accPr>
            <m:ctrlPr>
              <w:rPr>
                <w:rFonts w:ascii="Cambria Math" w:eastAsia="SimSun" w:hAnsi="Cambria Math"/>
                <w:i/>
              </w:rPr>
            </m:ctrlPr>
          </m:accPr>
          <m:e>
            <m:r>
              <w:rPr>
                <w:rFonts w:ascii="Cambria Math" w:hAnsi="Cambria Math"/>
              </w:rPr>
              <m:t>θ</m:t>
            </m:r>
          </m:e>
        </m:acc>
      </m:oMath>
      <w:r>
        <w:t xml:space="preserve">, corresponds to a population parameter, </w:t>
      </w:r>
      <m:oMath>
        <m:r>
          <w:rPr>
            <w:rFonts w:ascii="Cambria Math" w:hAnsi="Cambria Math"/>
          </w:rPr>
          <m:t>θ</m:t>
        </m:r>
      </m:oMath>
      <w:r>
        <w:t xml:space="preserve">, </w:t>
      </w:r>
      <w:r w:rsidR="00F17E55">
        <w:t>su</w:t>
      </w:r>
      <w:r>
        <w:t>ch as the true but unknown obesity rate. To define the population parameter, let</w:t>
      </w:r>
    </w:p>
    <w:p w14:paraId="51465E65" w14:textId="468B3ADA" w:rsidR="007C5755" w:rsidRDefault="00827BFE" w:rsidP="00483D86">
      <w:pPr>
        <w:ind w:left="720" w:hanging="720"/>
        <w:jc w:val="both"/>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7C5755">
        <w:t xml:space="preserve"> = the number of </w:t>
      </w:r>
      <w:r w:rsidR="00504041">
        <w:t>children and teens</w:t>
      </w:r>
      <w:r w:rsidR="007C5755">
        <w:t xml:space="preserve"> in stratum </w:t>
      </w:r>
      <m:oMath>
        <m:r>
          <w:rPr>
            <w:rFonts w:ascii="Cambria Math" w:hAnsi="Cambria Math"/>
          </w:rPr>
          <m:t>h</m:t>
        </m:r>
      </m:oMath>
      <w:r w:rsidR="007C5755">
        <w:t xml:space="preserve"> (</w:t>
      </w:r>
      <m:oMath>
        <m:r>
          <w:rPr>
            <w:rFonts w:ascii="Cambria Math" w:hAnsi="Cambria Math"/>
          </w:rPr>
          <m:t xml:space="preserve"> h=</m:t>
        </m:r>
        <m:r>
          <w:rPr>
            <w:rFonts w:ascii="Cambria Math" w:hAnsi="Cambria Math"/>
          </w:rPr>
          <m:t>1,…,L</m:t>
        </m:r>
      </m:oMath>
      <w:r w:rsidR="007C5755">
        <w:t xml:space="preserve">), where stratum refers to </w:t>
      </w:r>
      <w:r w:rsidR="00D71F8F">
        <w:t>s</w:t>
      </w:r>
      <w:r w:rsidR="007C5755" w:rsidRPr="002D23AA">
        <w:t>tate</w:t>
      </w:r>
      <w:r w:rsidR="007C5755">
        <w:t>-</w:t>
      </w:r>
      <w:r w:rsidR="00154ACC">
        <w:t>ZCTA-3</w:t>
      </w:r>
      <w:r w:rsidR="007C5755">
        <w:t xml:space="preserve"> for IQVIA data and to (</w:t>
      </w:r>
      <w:r w:rsidR="00D71F8F">
        <w:t xml:space="preserve">ZIP </w:t>
      </w:r>
      <w:r w:rsidR="007C5755">
        <w:t>code, census tract?) for CODI data</w:t>
      </w:r>
    </w:p>
    <w:p w14:paraId="13A017E5" w14:textId="77777777" w:rsidR="007C5755" w:rsidRDefault="00827BFE" w:rsidP="00483D86">
      <w:pPr>
        <w:ind w:left="720" w:hanging="720"/>
        <w:jc w:val="both"/>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7C5755">
        <w:t xml:space="preserve"> = the value of </w:t>
      </w:r>
      <m:oMath>
        <m:r>
          <w:rPr>
            <w:rFonts w:ascii="Cambria Math" w:hAnsi="Cambria Math"/>
          </w:rPr>
          <m:t>Y</m:t>
        </m:r>
      </m:oMath>
      <w:r w:rsidR="007C5755">
        <w:t xml:space="preserve"> for child</w:t>
      </w:r>
      <w:r w:rsidR="00112B39">
        <w:t>/teen</w:t>
      </w:r>
      <w:r w:rsidR="007C5755">
        <w:t xml:space="preserve"> </w:t>
      </w:r>
      <m:oMath>
        <m:r>
          <w:rPr>
            <w:rFonts w:ascii="Cambria Math" w:hAnsi="Cambria Math"/>
          </w:rPr>
          <m:t>i</m:t>
        </m:r>
      </m:oMath>
      <w:r w:rsidR="007C5755">
        <w:t xml:space="preserve"> of stratum </w:t>
      </w:r>
      <m:oMath>
        <m:r>
          <w:rPr>
            <w:rFonts w:ascii="Cambria Math" w:hAnsi="Cambria Math"/>
          </w:rPr>
          <m:t>h</m:t>
        </m:r>
      </m:oMath>
      <w:r w:rsidR="007C5755">
        <w:t xml:space="preserve"> (often the possible values of </w:t>
      </w:r>
      <m:oMath>
        <m:r>
          <w:rPr>
            <w:rFonts w:ascii="Cambria Math" w:hAnsi="Cambria Math"/>
          </w:rPr>
          <m:t>Y</m:t>
        </m:r>
      </m:oMath>
      <w:r w:rsidR="007C5755">
        <w:t xml:space="preserve"> are 0 and 1, as when </w:t>
      </w:r>
      <m:oMath>
        <m:r>
          <w:rPr>
            <w:rFonts w:ascii="Cambria Math" w:hAnsi="Cambria Math"/>
          </w:rPr>
          <m:t>Y</m:t>
        </m:r>
      </m:oMath>
      <w:r w:rsidR="007C5755">
        <w:t xml:space="preserve"> indicates whether a child</w:t>
      </w:r>
      <w:r w:rsidR="00112B39">
        <w:t>/teen</w:t>
      </w:r>
      <w:r w:rsidR="007C5755">
        <w:t xml:space="preserve"> is obese or in a specified weight category)</w:t>
      </w:r>
    </w:p>
    <w:p w14:paraId="7FC15F70" w14:textId="665DA8F1" w:rsidR="007C5755" w:rsidRDefault="00827BFE" w:rsidP="00A3194F">
      <w:pPr>
        <w:spacing w:after="240"/>
        <w:ind w:left="720" w:hanging="720"/>
        <w:jc w:val="both"/>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7C5755">
        <w:t xml:space="preserve"> = 0 or 1, indicating whether child</w:t>
      </w:r>
      <w:r w:rsidR="00112B39">
        <w:t>/teen</w:t>
      </w:r>
      <w:r w:rsidR="007C5755">
        <w:t xml:space="preserve"> </w:t>
      </w:r>
      <m:oMath>
        <m:r>
          <w:rPr>
            <w:rFonts w:ascii="Cambria Math" w:hAnsi="Cambria Math"/>
          </w:rPr>
          <m:t>i</m:t>
        </m:r>
      </m:oMath>
      <w:r w:rsidR="007C5755">
        <w:t xml:space="preserve"> of stratum </w:t>
      </w:r>
      <m:oMath>
        <m:r>
          <w:rPr>
            <w:rFonts w:ascii="Cambria Math" w:hAnsi="Cambria Math"/>
          </w:rPr>
          <m:t>h</m:t>
        </m:r>
      </m:oMath>
      <w:r w:rsidR="007C5755">
        <w:t xml:space="preserve"> belongs to a particular domain (such as a specified </w:t>
      </w:r>
      <w:r w:rsidR="00D71F8F">
        <w:t>r</w:t>
      </w:r>
      <w:r w:rsidR="007C5755">
        <w:t>ace)</w:t>
      </w:r>
    </w:p>
    <w:p w14:paraId="3877552F" w14:textId="77777777" w:rsidR="007C5755" w:rsidRDefault="00827BFE" w:rsidP="00A3194F">
      <w:pPr>
        <w:spacing w:after="240"/>
        <w:ind w:left="720" w:hanging="720"/>
        <w:jc w:val="both"/>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0BAB8A" w14:textId="76724080" w:rsidR="007C5755" w:rsidRDefault="00827BFE" w:rsidP="00A3194F">
      <w:pPr>
        <w:spacing w:after="240"/>
        <w:ind w:left="720" w:hanging="720"/>
        <w:jc w:val="both"/>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67F51A16" w14:textId="77777777" w:rsidR="007C5755" w:rsidRDefault="007C5755" w:rsidP="00A3194F">
      <w:pPr>
        <w:spacing w:after="240"/>
        <w:jc w:val="both"/>
      </w:pPr>
      <w:r>
        <w:t xml:space="preserve">Then, adding the subscript </w:t>
      </w:r>
      <m:oMath>
        <m:r>
          <w:rPr>
            <w:rFonts w:ascii="Cambria Math" w:hAnsi="Cambria Math"/>
          </w:rPr>
          <m:t>d</m:t>
        </m:r>
      </m:oMath>
      <w:r>
        <w:t xml:space="preserve"> to indicate the role of the domain, the ratio</w:t>
      </w:r>
    </w:p>
    <w:p w14:paraId="40F6A1CC" w14:textId="77777777" w:rsidR="007C5755" w:rsidRDefault="00827BFE" w:rsidP="00A3194F">
      <w:pPr>
        <w:spacing w:after="240"/>
        <w:jc w:val="both"/>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0A9E6DA" w14:textId="77777777" w:rsidR="007C5755" w:rsidRDefault="007C5755" w:rsidP="00A3194F">
      <w:pPr>
        <w:spacing w:after="240"/>
        <w:jc w:val="both"/>
      </w:pPr>
      <w:r>
        <w:t xml:space="preserve">is the parameter of interest. </w:t>
      </w:r>
    </w:p>
    <w:p w14:paraId="18D145BB" w14:textId="77777777" w:rsidR="007C5755" w:rsidRDefault="007C5755" w:rsidP="00483D86">
      <w:pPr>
        <w:jc w:val="both"/>
      </w:pPr>
      <w:r>
        <w:t>In the sample</w:t>
      </w:r>
      <w:r w:rsidR="00C043CF">
        <w:t>,</w:t>
      </w:r>
      <w:r>
        <w:t xml:space="preserve"> let</w:t>
      </w:r>
    </w:p>
    <w:p w14:paraId="2F6CDAAC" w14:textId="18217513" w:rsidR="007C5755" w:rsidRDefault="00827BFE" w:rsidP="00483D86">
      <w:pPr>
        <w:ind w:left="720" w:hanging="720"/>
        <w:jc w:val="both"/>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7C5755">
        <w:t xml:space="preserve"> = the number of sample </w:t>
      </w:r>
      <w:r w:rsidR="00504041">
        <w:t>children and teens</w:t>
      </w:r>
      <w:r w:rsidR="007C5755">
        <w:t xml:space="preserve"> in stratum </w:t>
      </w:r>
      <m:oMath>
        <m:r>
          <w:rPr>
            <w:rFonts w:ascii="Cambria Math" w:hAnsi="Cambria Math"/>
          </w:rPr>
          <m:t>h</m:t>
        </m:r>
      </m:oMath>
    </w:p>
    <w:p w14:paraId="7E0DB3C0" w14:textId="77777777" w:rsidR="007C5755" w:rsidRDefault="00827BFE" w:rsidP="00483D86">
      <w:pPr>
        <w:ind w:left="720" w:hanging="720"/>
        <w:jc w:val="both"/>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C5755">
        <w:t xml:space="preserve"> = the sampling weight for child</w:t>
      </w:r>
      <w:r w:rsidR="00112B39">
        <w:t>/teen</w:t>
      </w:r>
      <w:r w:rsidR="007C5755">
        <w:t xml:space="preserve"> </w:t>
      </w:r>
      <m:oMath>
        <m:r>
          <w:rPr>
            <w:rFonts w:ascii="Cambria Math" w:hAnsi="Cambria Math"/>
          </w:rPr>
          <m:t>i</m:t>
        </m:r>
      </m:oMath>
      <w:r w:rsidR="007C5755">
        <w:t xml:space="preserve"> in stratum </w:t>
      </w:r>
      <m:oMath>
        <m:r>
          <w:rPr>
            <w:rFonts w:ascii="Cambria Math" w:hAnsi="Cambria Math"/>
          </w:rPr>
          <m:t>h</m:t>
        </m:r>
      </m:oMath>
    </w:p>
    <w:p w14:paraId="6EB5C096" w14:textId="5695219C" w:rsidR="007C5755" w:rsidRDefault="00827BFE" w:rsidP="00483D86">
      <w:pPr>
        <w:ind w:left="720" w:hanging="720"/>
        <w:jc w:val="both"/>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7C5755">
        <w:t xml:space="preserve"> = the value of </w:t>
      </w:r>
      <m:oMath>
        <m:r>
          <w:rPr>
            <w:rFonts w:ascii="Cambria Math" w:hAnsi="Cambria Math"/>
          </w:rPr>
          <m:t>Y</m:t>
        </m:r>
      </m:oMath>
      <w:r w:rsidR="007C5755">
        <w:t xml:space="preserve"> for child</w:t>
      </w:r>
      <w:r w:rsidR="00112B39">
        <w:t>/teen</w:t>
      </w:r>
      <w:r w:rsidR="007C5755">
        <w:t xml:space="preserve"> </w:t>
      </w:r>
      <m:oMath>
        <m:r>
          <w:rPr>
            <w:rFonts w:ascii="Cambria Math" w:hAnsi="Cambria Math"/>
          </w:rPr>
          <m:t>i</m:t>
        </m:r>
      </m:oMath>
      <w:r w:rsidR="007C5755">
        <w:t xml:space="preserve"> in stratum </w:t>
      </w:r>
      <m:oMath>
        <m:r>
          <w:rPr>
            <w:rFonts w:ascii="Cambria Math" w:hAnsi="Cambria Math"/>
          </w:rPr>
          <m:t>h</m:t>
        </m:r>
      </m:oMath>
      <w:r w:rsidR="007C5755">
        <w:t xml:space="preserve"> </w:t>
      </w:r>
    </w:p>
    <w:p w14:paraId="4DAA33CD" w14:textId="77777777" w:rsidR="007C5755" w:rsidRDefault="00827BFE" w:rsidP="00483D86">
      <w:pPr>
        <w:ind w:left="720" w:hanging="720"/>
        <w:jc w:val="both"/>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7C5755">
        <w:t xml:space="preserve"> = the value of the domain indicator for child</w:t>
      </w:r>
      <w:r w:rsidR="00112B39">
        <w:t>/teen</w:t>
      </w:r>
      <w:r w:rsidR="007C5755">
        <w:t xml:space="preserve"> </w:t>
      </w:r>
      <m:oMath>
        <m:r>
          <w:rPr>
            <w:rFonts w:ascii="Cambria Math" w:hAnsi="Cambria Math"/>
          </w:rPr>
          <m:t>i</m:t>
        </m:r>
      </m:oMath>
      <w:r w:rsidR="007C5755">
        <w:t xml:space="preserve"> in stratum </w:t>
      </w:r>
      <m:oMath>
        <m:r>
          <w:rPr>
            <w:rFonts w:ascii="Cambria Math" w:hAnsi="Cambria Math"/>
          </w:rPr>
          <m:t>h</m:t>
        </m:r>
      </m:oMath>
    </w:p>
    <w:p w14:paraId="15921C50" w14:textId="77777777" w:rsidR="007C5755" w:rsidRDefault="00827BFE" w:rsidP="00A3194F">
      <w:pPr>
        <w:spacing w:after="24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FEBCFC5" w14:textId="32270709" w:rsidR="007C5755" w:rsidRDefault="00827BFE" w:rsidP="00483D86">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00C043CF">
        <w:t>T</w:t>
      </w:r>
      <w:r w:rsidR="007C5755">
        <w:t xml:space="preserve">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7C5755">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7C5755">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7C5755">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7C5755">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7C5755">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7C5755">
        <w:t xml:space="preserve"> the subscript </w:t>
      </w:r>
      <m:oMath>
        <m:r>
          <w:rPr>
            <w:rFonts w:ascii="Cambria Math" w:hAnsi="Cambria Math"/>
          </w:rPr>
          <m:t>i</m:t>
        </m:r>
      </m:oMath>
      <w:r w:rsidR="007C5755">
        <w:t xml:space="preserve"> refers to sampled </w:t>
      </w:r>
      <w:r w:rsidR="00504041">
        <w:t>children and teens</w:t>
      </w:r>
      <w:r w:rsidR="007C5755">
        <w:t xml:space="preserve"> within stratum </w:t>
      </w:r>
      <m:oMath>
        <m:r>
          <w:rPr>
            <w:rFonts w:ascii="Cambria Math" w:hAnsi="Cambria Math"/>
          </w:rPr>
          <m:t>h</m:t>
        </m:r>
      </m:oMath>
      <w:r w:rsidR="007C5755">
        <w:rPr>
          <w:i/>
        </w:rPr>
        <w:t>,</w:t>
      </w:r>
      <w:r w:rsidR="007C5755">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7C5755">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7C5755">
        <w:t xml:space="preserve"> they refer to </w:t>
      </w:r>
      <w:r w:rsidR="00504041">
        <w:t>children and teens</w:t>
      </w:r>
      <w:r w:rsidR="007C5755">
        <w:t xml:space="preserve"> in the </w:t>
      </w:r>
      <w:r w:rsidR="00DA45D4">
        <w:t xml:space="preserve">population </w:t>
      </w:r>
      <w:r w:rsidR="007C5755">
        <w:t xml:space="preserve">in stratum </w:t>
      </w:r>
      <m:oMath>
        <m:r>
          <w:rPr>
            <w:rFonts w:ascii="Cambria Math" w:hAnsi="Cambria Math"/>
          </w:rPr>
          <m:t>h</m:t>
        </m:r>
      </m:oMath>
      <w:r w:rsidR="007C5755">
        <w:t>. Then</w:t>
      </w:r>
      <w:r w:rsidR="00C043CF">
        <w:t>,</w:t>
      </w:r>
      <w:r w:rsidR="007C5755">
        <w:t xml:space="preserve"> the combined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7C5755">
        <w:t xml:space="preserve"> is</w:t>
      </w:r>
      <w:r w:rsidR="007C5755">
        <w:tab/>
      </w:r>
      <w:r w:rsidR="007C5755">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007C5755">
        <w:t>To estimate 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007C5755">
        <w:t>, a Taylor-series approximation is used (Wolter, 2007). Within stratum</w:t>
      </w:r>
      <m:oMath>
        <m:r>
          <w:rPr>
            <w:rFonts w:ascii="Cambria Math" w:hAnsi="Cambria Math"/>
          </w:rPr>
          <m:t xml:space="preserve"> h</m:t>
        </m:r>
      </m:oMath>
      <w:r w:rsidR="007C5755">
        <w:t xml:space="preserve">, linearization yields the new variable. </w:t>
      </w:r>
    </w:p>
    <w:p w14:paraId="748E9852" w14:textId="77777777" w:rsidR="007C5755" w:rsidRDefault="00827BFE" w:rsidP="00483D86">
      <w:pPr>
        <w:jc w:val="both"/>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1D76873D" w14:textId="77777777" w:rsidR="007C5755" w:rsidRDefault="007C5755" w:rsidP="00483D86">
      <w:pPr>
        <w:jc w:val="both"/>
      </w:pPr>
      <w:r>
        <w:t>Then, letting</w:t>
      </w:r>
    </w:p>
    <w:p w14:paraId="672EF5F7" w14:textId="77777777" w:rsidR="007C5755" w:rsidRDefault="00827BFE" w:rsidP="00483D86">
      <w:pPr>
        <w:tabs>
          <w:tab w:val="center" w:pos="4680"/>
          <w:tab w:val="right" w:pos="9360"/>
        </w:tabs>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7C5755">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7C5755">
        <w:t xml:space="preserve"> is</w:t>
      </w:r>
    </w:p>
    <w:p w14:paraId="05244204" w14:textId="365EA67D" w:rsidR="00294BB5" w:rsidRDefault="007C5755" w:rsidP="00483D86">
      <w:pPr>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5B0557F0" w14:textId="1E45A3D0" w:rsidR="00F321F0" w:rsidRPr="00B57CF6" w:rsidRDefault="00F321F0" w:rsidP="00F321F0">
      <w:bookmarkStart w:id="108" w:name="_Toc44419351"/>
      <w:bookmarkStart w:id="109" w:name="_Toc45020181"/>
      <w:bookmarkStart w:id="110" w:name="_Toc44419352"/>
      <w:bookmarkStart w:id="111" w:name="_Toc45020182"/>
      <w:bookmarkEnd w:id="108"/>
      <w:bookmarkEnd w:id="109"/>
      <w:bookmarkEnd w:id="110"/>
      <w:bookmarkEnd w:id="111"/>
      <w:r>
        <w:t>See Appendix A</w:t>
      </w:r>
      <w:r w:rsidR="00D71F8F">
        <w:t>.</w:t>
      </w:r>
      <w:r>
        <w:t xml:space="preserve"> Suppression for more information. </w:t>
      </w:r>
    </w:p>
    <w:p w14:paraId="4786AC47" w14:textId="63430BA4" w:rsidR="003D4A66" w:rsidRDefault="003D4A66" w:rsidP="00A3194F">
      <w:pPr>
        <w:pStyle w:val="AppHeading2"/>
      </w:pPr>
      <w:bookmarkStart w:id="112" w:name="_Toc46395261"/>
      <w:r>
        <w:t>Weight Category</w:t>
      </w:r>
      <w:bookmarkEnd w:id="112"/>
    </w:p>
    <w:p w14:paraId="148BF1C4" w14:textId="2CAB92F3" w:rsidR="003D4A66" w:rsidRDefault="003D4A66" w:rsidP="001C5159">
      <w:r>
        <w:t>Prevalence estimates are calculated from a child</w:t>
      </w:r>
      <w:r w:rsidR="000D13FC">
        <w:t>’</w:t>
      </w:r>
      <w:r>
        <w:t>s body mass index. Each child</w:t>
      </w:r>
      <w:r w:rsidR="00112B39">
        <w:t xml:space="preserve"> and teen</w:t>
      </w:r>
      <w:r>
        <w:t xml:space="preserve"> with a height, weight, sex, and age may be classified as one (or more for severe obesity) of the following categories:</w:t>
      </w:r>
    </w:p>
    <w:p w14:paraId="57C6BB1A" w14:textId="77777777" w:rsidR="003D4A66" w:rsidRDefault="003D4A66" w:rsidP="00A3194F">
      <w:pPr>
        <w:pStyle w:val="NumberedList"/>
        <w:numPr>
          <w:ilvl w:val="0"/>
          <w:numId w:val="55"/>
        </w:numPr>
      </w:pPr>
      <w:r>
        <w:t>Underweight: less than 5</w:t>
      </w:r>
      <w:r>
        <w:rPr>
          <w:vertAlign w:val="superscript"/>
        </w:rPr>
        <w:t>th</w:t>
      </w:r>
      <w:r>
        <w:t xml:space="preserve"> percentile</w:t>
      </w:r>
    </w:p>
    <w:p w14:paraId="7E04B88C" w14:textId="77777777" w:rsidR="003D4A66" w:rsidRDefault="003D4A66" w:rsidP="00A3194F">
      <w:pPr>
        <w:pStyle w:val="NumberedList"/>
        <w:numPr>
          <w:ilvl w:val="0"/>
          <w:numId w:val="55"/>
        </w:numPr>
      </w:pPr>
      <w:r>
        <w:t>Healthy Weight: 5</w:t>
      </w:r>
      <w:r>
        <w:rPr>
          <w:vertAlign w:val="superscript"/>
        </w:rPr>
        <w:t>th</w:t>
      </w:r>
      <w:r>
        <w:t xml:space="preserve"> percentile to less than the 85</w:t>
      </w:r>
      <w:r>
        <w:rPr>
          <w:vertAlign w:val="superscript"/>
        </w:rPr>
        <w:t>th</w:t>
      </w:r>
      <w:r>
        <w:t xml:space="preserve"> percentile</w:t>
      </w:r>
    </w:p>
    <w:p w14:paraId="1628C67A" w14:textId="77777777" w:rsidR="003D4A66" w:rsidRDefault="003D4A66" w:rsidP="00A3194F">
      <w:pPr>
        <w:pStyle w:val="NumberedList"/>
        <w:numPr>
          <w:ilvl w:val="0"/>
          <w:numId w:val="55"/>
        </w:numPr>
      </w:pPr>
      <w:r>
        <w:t>Overweight: 85</w:t>
      </w:r>
      <w:r>
        <w:rPr>
          <w:vertAlign w:val="superscript"/>
        </w:rPr>
        <w:t>th</w:t>
      </w:r>
      <w:r>
        <w:t xml:space="preserve"> to less than the 95</w:t>
      </w:r>
      <w:r>
        <w:rPr>
          <w:vertAlign w:val="superscript"/>
        </w:rPr>
        <w:t>th</w:t>
      </w:r>
      <w:r>
        <w:t xml:space="preserve"> percentile</w:t>
      </w:r>
    </w:p>
    <w:p w14:paraId="3552F449" w14:textId="77777777" w:rsidR="003D4A66" w:rsidRDefault="003D4A66" w:rsidP="00A3194F">
      <w:pPr>
        <w:pStyle w:val="NumberedList"/>
        <w:numPr>
          <w:ilvl w:val="0"/>
          <w:numId w:val="55"/>
        </w:numPr>
      </w:pPr>
      <w:r>
        <w:t>Obesity</w:t>
      </w:r>
      <w:r>
        <w:rPr>
          <w:rStyle w:val="FootnoteReference"/>
        </w:rPr>
        <w:footnoteReference w:id="13"/>
      </w:r>
      <w:r>
        <w:t>: 95</w:t>
      </w:r>
      <w:r>
        <w:rPr>
          <w:vertAlign w:val="superscript"/>
        </w:rPr>
        <w:t>th</w:t>
      </w:r>
      <w:r>
        <w:t xml:space="preserve"> percentile to less than 120 percent of the BMI value for the 95</w:t>
      </w:r>
      <w:r>
        <w:rPr>
          <w:vertAlign w:val="superscript"/>
        </w:rPr>
        <w:t>th</w:t>
      </w:r>
      <w:r>
        <w:t xml:space="preserve"> percentile</w:t>
      </w:r>
    </w:p>
    <w:p w14:paraId="4A7276AD" w14:textId="77777777" w:rsidR="002975B7" w:rsidRDefault="003D4A66" w:rsidP="00A3194F">
      <w:pPr>
        <w:pStyle w:val="NumberedList2bulleted"/>
        <w:numPr>
          <w:ilvl w:val="1"/>
          <w:numId w:val="55"/>
        </w:numPr>
      </w:pPr>
      <w:r>
        <w:t>Severe Obesity: 120 percent or greater of the BMI value for the 95</w:t>
      </w:r>
      <w:r>
        <w:rPr>
          <w:vertAlign w:val="superscript"/>
        </w:rPr>
        <w:t>th</w:t>
      </w:r>
      <w:r>
        <w:t xml:space="preserve"> percentile. </w:t>
      </w:r>
    </w:p>
    <w:p w14:paraId="243FA2BE" w14:textId="70AA173C" w:rsidR="002975B7" w:rsidRDefault="002975B7" w:rsidP="00A3194F">
      <w:pPr>
        <w:pStyle w:val="NumberedList2bulleted"/>
        <w:numPr>
          <w:ilvl w:val="0"/>
          <w:numId w:val="0"/>
        </w:numPr>
      </w:pPr>
      <w:r>
        <w:t xml:space="preserve">For more information, visit </w:t>
      </w:r>
      <w:hyperlink r:id="rId20" w:history="1">
        <w:r w:rsidRPr="00D911B8">
          <w:rPr>
            <w:rStyle w:val="Hyperlink"/>
          </w:rPr>
          <w:t>https://www.cdc.gov/healthyweight/assessing/bmi/childrens_bmi/about_childrens_bmi.html</w:t>
        </w:r>
      </w:hyperlink>
      <w:r w:rsidR="00D71F8F">
        <w:rPr>
          <w:rStyle w:val="Hyperlink"/>
        </w:rPr>
        <w:t>.</w:t>
      </w:r>
      <w:r>
        <w:t xml:space="preserve"> </w:t>
      </w:r>
    </w:p>
    <w:p w14:paraId="385308F9" w14:textId="1E227A49" w:rsidR="00AD72CE" w:rsidRDefault="00AD72CE" w:rsidP="00A3194F">
      <w:pPr>
        <w:pStyle w:val="AppHeading2"/>
      </w:pPr>
      <w:bookmarkStart w:id="113" w:name="_Toc46395262"/>
      <w:r>
        <w:t>ZCTA-3</w:t>
      </w:r>
      <w:bookmarkEnd w:id="113"/>
    </w:p>
    <w:p w14:paraId="648C09E7" w14:textId="0817006F" w:rsidR="00AD72CE" w:rsidRPr="00B75266" w:rsidRDefault="00AD72CE" w:rsidP="00A3194F">
      <w:pPr>
        <w:spacing w:after="240"/>
      </w:pPr>
      <w:r>
        <w:t xml:space="preserve">A ZCTA is a statistical geographic entity that approximates the delivery area for a U.S. Postal Service five-digit (ZCTA) ZIP code. ZCTAs are aggregations of census blocks that have the same predominant ZIP </w:t>
      </w:r>
      <w:r w:rsidR="00D71F8F">
        <w:t>c</w:t>
      </w:r>
      <w:r>
        <w:t>ode associated with the residential mailing addresses in the U.S. Census Bureau</w:t>
      </w:r>
      <w:r w:rsidR="000D13FC">
        <w:t>’</w:t>
      </w:r>
      <w:r>
        <w:t xml:space="preserve">s Master Address File. ZCTAs do not precisely depict ZIP </w:t>
      </w:r>
      <w:r w:rsidR="00D71F8F">
        <w:t>c</w:t>
      </w:r>
      <w:r>
        <w:t xml:space="preserve">ode delivery areas, and do not include all ZIP </w:t>
      </w:r>
      <w:r w:rsidR="00D71F8F">
        <w:t>c</w:t>
      </w:r>
      <w:r>
        <w:t xml:space="preserve">odes used for mail delivery. The U.S. Census Bureau has established ZCTAs as a new geographic entity similar to, but replacing, data tabulations for ZIP </w:t>
      </w:r>
      <w:r w:rsidR="00D71F8F">
        <w:t>c</w:t>
      </w:r>
      <w:r>
        <w:t>odes undertaken in conjunction with the 1990 and earlier censuses. For more information, refer to census.gov</w:t>
      </w:r>
      <w:r w:rsidR="00D71F8F">
        <w:t>.</w:t>
      </w:r>
      <w:r>
        <w:rPr>
          <w:rStyle w:val="FootnoteReference"/>
        </w:rPr>
        <w:footnoteReference w:id="14"/>
      </w:r>
    </w:p>
    <w:p w14:paraId="6B64CDC3" w14:textId="757866CE" w:rsidR="00D71F8F" w:rsidRDefault="00154ACC" w:rsidP="00A3194F">
      <w:pPr>
        <w:spacing w:after="240"/>
      </w:pPr>
      <w:r>
        <w:lastRenderedPageBreak/>
        <w:t xml:space="preserve">A ZCTA-3 includes the first three digits of a five-digit ZCTA. </w:t>
      </w:r>
      <w:r w:rsidR="00AD72CE">
        <w:t>Three-digit ZCTA</w:t>
      </w:r>
      <w:r w:rsidR="00D71F8F">
        <w:t>s</w:t>
      </w:r>
      <w:r w:rsidR="00AD72CE">
        <w:t xml:space="preserve"> (ZCTA-3)</w:t>
      </w:r>
      <w:r>
        <w:t xml:space="preserve">, representing the first three digits of a </w:t>
      </w:r>
      <w:r w:rsidR="00D71F8F">
        <w:t xml:space="preserve">ZIP </w:t>
      </w:r>
      <w:r>
        <w:t>code,</w:t>
      </w:r>
      <w:r w:rsidR="00AD72CE">
        <w:t xml:space="preserve"> were </w:t>
      </w:r>
      <w:r>
        <w:t xml:space="preserve">generated from the </w:t>
      </w:r>
      <w:r w:rsidR="00AD72CE">
        <w:t xml:space="preserve">IQVIA and ACS data. </w:t>
      </w:r>
    </w:p>
    <w:p w14:paraId="196294AD" w14:textId="2857C7D8" w:rsidR="00D71F8F" w:rsidRDefault="00D71F8F">
      <w:pPr>
        <w:spacing w:before="0" w:after="0"/>
      </w:pPr>
    </w:p>
    <w:p w14:paraId="0E6C1FC8" w14:textId="77777777" w:rsidR="00AD72CE" w:rsidRPr="00B75266" w:rsidRDefault="00AD72CE" w:rsidP="00A3194F">
      <w:pPr>
        <w:spacing w:after="240"/>
      </w:pPr>
    </w:p>
    <w:p w14:paraId="3B30794A" w14:textId="22EE7D61" w:rsidR="008535A9" w:rsidRDefault="008535A9" w:rsidP="00483D86">
      <w:pPr>
        <w:pStyle w:val="AppHeading1"/>
      </w:pPr>
      <w:bookmarkStart w:id="114" w:name="_Toc46395263"/>
      <w:r>
        <w:lastRenderedPageBreak/>
        <w:t xml:space="preserve">FIPS Codes and State </w:t>
      </w:r>
      <w:r w:rsidR="000C3F14">
        <w:t>N</w:t>
      </w:r>
      <w:r>
        <w:t>ames</w:t>
      </w:r>
      <w:bookmarkEnd w:id="114"/>
    </w:p>
    <w:tbl>
      <w:tblPr>
        <w:tblStyle w:val="GridTable1Light-Accent1"/>
        <w:tblW w:w="5130" w:type="dxa"/>
        <w:tblLook w:val="0420" w:firstRow="1" w:lastRow="0" w:firstColumn="0" w:lastColumn="0" w:noHBand="0" w:noVBand="1"/>
        <w:tblCaption w:val="FIPS Codes and State Names"/>
        <w:tblDescription w:val="A table with 3 columns that read from left to right: Name, Postal Code, FIPS"/>
      </w:tblPr>
      <w:tblGrid>
        <w:gridCol w:w="2385"/>
        <w:gridCol w:w="1517"/>
        <w:gridCol w:w="1228"/>
      </w:tblGrid>
      <w:tr w:rsidR="005534E1" w14:paraId="09C01FC6" w14:textId="77777777" w:rsidTr="00A3194F">
        <w:trPr>
          <w:cnfStyle w:val="100000000000" w:firstRow="1" w:lastRow="0" w:firstColumn="0" w:lastColumn="0" w:oddVBand="0" w:evenVBand="0" w:oddHBand="0" w:evenHBand="0" w:firstRowFirstColumn="0" w:firstRowLastColumn="0" w:lastRowFirstColumn="0" w:lastRowLastColumn="0"/>
          <w:trHeight w:val="315"/>
          <w:tblHeader/>
        </w:trPr>
        <w:tc>
          <w:tcPr>
            <w:tcW w:w="0" w:type="dxa"/>
            <w:noWrap/>
            <w:hideMark/>
          </w:tcPr>
          <w:p w14:paraId="4DA9D9BC" w14:textId="77777777" w:rsidR="005534E1" w:rsidRDefault="005534E1" w:rsidP="00A3194F">
            <w:pPr>
              <w:pStyle w:val="TableColumnHeading"/>
              <w:jc w:val="left"/>
            </w:pPr>
            <w:r>
              <w:rPr>
                <w:b/>
              </w:rPr>
              <w:t>Name</w:t>
            </w:r>
          </w:p>
        </w:tc>
        <w:tc>
          <w:tcPr>
            <w:tcW w:w="0" w:type="dxa"/>
            <w:noWrap/>
            <w:hideMark/>
          </w:tcPr>
          <w:p w14:paraId="0812D093" w14:textId="77777777" w:rsidR="005534E1" w:rsidRDefault="005534E1" w:rsidP="00A3194F">
            <w:pPr>
              <w:pStyle w:val="TableColumnHeading"/>
              <w:jc w:val="left"/>
            </w:pPr>
            <w:r>
              <w:rPr>
                <w:b/>
              </w:rPr>
              <w:t>Postal Code</w:t>
            </w:r>
          </w:p>
        </w:tc>
        <w:tc>
          <w:tcPr>
            <w:tcW w:w="0" w:type="dxa"/>
            <w:noWrap/>
            <w:hideMark/>
          </w:tcPr>
          <w:p w14:paraId="54D8519F" w14:textId="77777777" w:rsidR="005534E1" w:rsidRDefault="005534E1" w:rsidP="00A3194F">
            <w:pPr>
              <w:pStyle w:val="TableColumnHeading"/>
              <w:jc w:val="left"/>
            </w:pPr>
            <w:r>
              <w:rPr>
                <w:b/>
              </w:rPr>
              <w:t>FIPS</w:t>
            </w:r>
          </w:p>
        </w:tc>
      </w:tr>
      <w:tr w:rsidR="005534E1" w14:paraId="3A7808E3" w14:textId="77777777" w:rsidTr="00A3194F">
        <w:trPr>
          <w:trHeight w:val="315"/>
        </w:trPr>
        <w:tc>
          <w:tcPr>
            <w:tcW w:w="0" w:type="dxa"/>
            <w:noWrap/>
            <w:hideMark/>
          </w:tcPr>
          <w:p w14:paraId="2A8FAEB2" w14:textId="77777777" w:rsidR="005534E1" w:rsidRDefault="005534E1" w:rsidP="00A3194F">
            <w:pPr>
              <w:pStyle w:val="TableTextSmaller"/>
            </w:pPr>
            <w:r>
              <w:t>Alabama</w:t>
            </w:r>
          </w:p>
        </w:tc>
        <w:tc>
          <w:tcPr>
            <w:tcW w:w="0" w:type="dxa"/>
            <w:noWrap/>
            <w:hideMark/>
          </w:tcPr>
          <w:p w14:paraId="652DAC3E" w14:textId="77777777" w:rsidR="005534E1" w:rsidRDefault="005534E1" w:rsidP="00A3194F">
            <w:pPr>
              <w:pStyle w:val="TableTextSmaller"/>
            </w:pPr>
            <w:r>
              <w:t>AL</w:t>
            </w:r>
          </w:p>
        </w:tc>
        <w:tc>
          <w:tcPr>
            <w:tcW w:w="0" w:type="dxa"/>
            <w:noWrap/>
            <w:hideMark/>
          </w:tcPr>
          <w:p w14:paraId="2435AE9A" w14:textId="77777777" w:rsidR="005534E1" w:rsidRDefault="005534E1" w:rsidP="00A3194F">
            <w:pPr>
              <w:pStyle w:val="TableTextSmaller"/>
            </w:pPr>
            <w:r>
              <w:t>01</w:t>
            </w:r>
          </w:p>
        </w:tc>
      </w:tr>
      <w:tr w:rsidR="005534E1" w14:paraId="1CE15F67" w14:textId="77777777" w:rsidTr="00A3194F">
        <w:trPr>
          <w:trHeight w:val="315"/>
        </w:trPr>
        <w:tc>
          <w:tcPr>
            <w:tcW w:w="0" w:type="dxa"/>
            <w:noWrap/>
            <w:hideMark/>
          </w:tcPr>
          <w:p w14:paraId="29F9B61F" w14:textId="77777777" w:rsidR="005534E1" w:rsidRDefault="005534E1" w:rsidP="00A3194F">
            <w:pPr>
              <w:pStyle w:val="TableTextSmaller"/>
            </w:pPr>
            <w:r>
              <w:t>Alaska</w:t>
            </w:r>
          </w:p>
        </w:tc>
        <w:tc>
          <w:tcPr>
            <w:tcW w:w="0" w:type="dxa"/>
            <w:noWrap/>
            <w:hideMark/>
          </w:tcPr>
          <w:p w14:paraId="6BCC8BF1" w14:textId="77777777" w:rsidR="005534E1" w:rsidRDefault="005534E1" w:rsidP="00A3194F">
            <w:pPr>
              <w:pStyle w:val="TableTextSmaller"/>
            </w:pPr>
            <w:r>
              <w:t>AK</w:t>
            </w:r>
          </w:p>
        </w:tc>
        <w:tc>
          <w:tcPr>
            <w:tcW w:w="0" w:type="dxa"/>
            <w:noWrap/>
            <w:hideMark/>
          </w:tcPr>
          <w:p w14:paraId="21217DBC" w14:textId="77777777" w:rsidR="005534E1" w:rsidRDefault="005534E1" w:rsidP="00A3194F">
            <w:pPr>
              <w:pStyle w:val="TableTextSmaller"/>
            </w:pPr>
            <w:r>
              <w:t>02</w:t>
            </w:r>
          </w:p>
        </w:tc>
      </w:tr>
      <w:tr w:rsidR="005534E1" w14:paraId="360673C9" w14:textId="77777777" w:rsidTr="00A3194F">
        <w:trPr>
          <w:trHeight w:val="315"/>
        </w:trPr>
        <w:tc>
          <w:tcPr>
            <w:tcW w:w="0" w:type="dxa"/>
            <w:noWrap/>
            <w:hideMark/>
          </w:tcPr>
          <w:p w14:paraId="0D15BE8C" w14:textId="77777777" w:rsidR="005534E1" w:rsidRDefault="005534E1" w:rsidP="00A3194F">
            <w:pPr>
              <w:pStyle w:val="TableTextSmaller"/>
            </w:pPr>
            <w:r>
              <w:t>Arizona</w:t>
            </w:r>
          </w:p>
        </w:tc>
        <w:tc>
          <w:tcPr>
            <w:tcW w:w="0" w:type="dxa"/>
            <w:noWrap/>
            <w:hideMark/>
          </w:tcPr>
          <w:p w14:paraId="163BC951" w14:textId="77777777" w:rsidR="005534E1" w:rsidRDefault="005534E1" w:rsidP="00A3194F">
            <w:pPr>
              <w:pStyle w:val="TableTextSmaller"/>
            </w:pPr>
            <w:r>
              <w:t>AZ</w:t>
            </w:r>
          </w:p>
        </w:tc>
        <w:tc>
          <w:tcPr>
            <w:tcW w:w="0" w:type="dxa"/>
            <w:noWrap/>
            <w:hideMark/>
          </w:tcPr>
          <w:p w14:paraId="0EA6F4B5" w14:textId="77777777" w:rsidR="005534E1" w:rsidRDefault="005534E1" w:rsidP="00A3194F">
            <w:pPr>
              <w:pStyle w:val="TableTextSmaller"/>
            </w:pPr>
            <w:r>
              <w:t>04</w:t>
            </w:r>
          </w:p>
        </w:tc>
      </w:tr>
      <w:tr w:rsidR="005534E1" w14:paraId="318DAFE5" w14:textId="77777777" w:rsidTr="00A3194F">
        <w:trPr>
          <w:trHeight w:val="315"/>
        </w:trPr>
        <w:tc>
          <w:tcPr>
            <w:tcW w:w="0" w:type="dxa"/>
            <w:noWrap/>
            <w:hideMark/>
          </w:tcPr>
          <w:p w14:paraId="3094AA0E" w14:textId="77777777" w:rsidR="005534E1" w:rsidRDefault="005534E1" w:rsidP="00A3194F">
            <w:pPr>
              <w:pStyle w:val="TableTextSmaller"/>
            </w:pPr>
            <w:r>
              <w:t>Arkansas</w:t>
            </w:r>
          </w:p>
        </w:tc>
        <w:tc>
          <w:tcPr>
            <w:tcW w:w="0" w:type="dxa"/>
            <w:noWrap/>
            <w:hideMark/>
          </w:tcPr>
          <w:p w14:paraId="524CB23A" w14:textId="77777777" w:rsidR="005534E1" w:rsidRDefault="005534E1" w:rsidP="00A3194F">
            <w:pPr>
              <w:pStyle w:val="TableTextSmaller"/>
            </w:pPr>
            <w:r>
              <w:t>AR</w:t>
            </w:r>
          </w:p>
        </w:tc>
        <w:tc>
          <w:tcPr>
            <w:tcW w:w="0" w:type="dxa"/>
            <w:noWrap/>
            <w:hideMark/>
          </w:tcPr>
          <w:p w14:paraId="635E3E6C" w14:textId="77777777" w:rsidR="005534E1" w:rsidRDefault="005534E1" w:rsidP="00A3194F">
            <w:pPr>
              <w:pStyle w:val="TableTextSmaller"/>
            </w:pPr>
            <w:r>
              <w:t>05</w:t>
            </w:r>
          </w:p>
        </w:tc>
      </w:tr>
      <w:tr w:rsidR="005534E1" w14:paraId="14873DD5" w14:textId="77777777" w:rsidTr="00A3194F">
        <w:trPr>
          <w:trHeight w:val="315"/>
        </w:trPr>
        <w:tc>
          <w:tcPr>
            <w:tcW w:w="0" w:type="dxa"/>
            <w:noWrap/>
            <w:hideMark/>
          </w:tcPr>
          <w:p w14:paraId="23A1A4EE" w14:textId="77777777" w:rsidR="005534E1" w:rsidRDefault="005534E1" w:rsidP="00A3194F">
            <w:pPr>
              <w:pStyle w:val="TableTextSmaller"/>
            </w:pPr>
            <w:r>
              <w:t>California</w:t>
            </w:r>
          </w:p>
        </w:tc>
        <w:tc>
          <w:tcPr>
            <w:tcW w:w="0" w:type="dxa"/>
            <w:noWrap/>
            <w:hideMark/>
          </w:tcPr>
          <w:p w14:paraId="0B4115E8" w14:textId="77777777" w:rsidR="005534E1" w:rsidRDefault="005534E1" w:rsidP="00A3194F">
            <w:pPr>
              <w:pStyle w:val="TableTextSmaller"/>
            </w:pPr>
            <w:r>
              <w:t>CA</w:t>
            </w:r>
          </w:p>
        </w:tc>
        <w:tc>
          <w:tcPr>
            <w:tcW w:w="0" w:type="dxa"/>
            <w:noWrap/>
            <w:hideMark/>
          </w:tcPr>
          <w:p w14:paraId="5AF217C8" w14:textId="77777777" w:rsidR="005534E1" w:rsidRDefault="005534E1" w:rsidP="00A3194F">
            <w:pPr>
              <w:pStyle w:val="TableTextSmaller"/>
            </w:pPr>
            <w:r>
              <w:t>06</w:t>
            </w:r>
          </w:p>
        </w:tc>
      </w:tr>
      <w:tr w:rsidR="005534E1" w14:paraId="4255F2D3" w14:textId="77777777" w:rsidTr="00A3194F">
        <w:trPr>
          <w:trHeight w:val="315"/>
        </w:trPr>
        <w:tc>
          <w:tcPr>
            <w:tcW w:w="0" w:type="dxa"/>
            <w:noWrap/>
            <w:hideMark/>
          </w:tcPr>
          <w:p w14:paraId="235BD69E" w14:textId="77777777" w:rsidR="005534E1" w:rsidRDefault="005534E1" w:rsidP="00A3194F">
            <w:pPr>
              <w:pStyle w:val="TableTextSmaller"/>
            </w:pPr>
            <w:r>
              <w:t>Colorado</w:t>
            </w:r>
          </w:p>
        </w:tc>
        <w:tc>
          <w:tcPr>
            <w:tcW w:w="0" w:type="dxa"/>
            <w:noWrap/>
            <w:hideMark/>
          </w:tcPr>
          <w:p w14:paraId="154534C2" w14:textId="77777777" w:rsidR="005534E1" w:rsidRDefault="005534E1" w:rsidP="00A3194F">
            <w:pPr>
              <w:pStyle w:val="TableTextSmaller"/>
            </w:pPr>
            <w:r>
              <w:t>CO</w:t>
            </w:r>
          </w:p>
        </w:tc>
        <w:tc>
          <w:tcPr>
            <w:tcW w:w="0" w:type="dxa"/>
            <w:noWrap/>
            <w:hideMark/>
          </w:tcPr>
          <w:p w14:paraId="1B05A349" w14:textId="77777777" w:rsidR="005534E1" w:rsidRDefault="005534E1" w:rsidP="00A3194F">
            <w:pPr>
              <w:pStyle w:val="TableTextSmaller"/>
            </w:pPr>
            <w:r>
              <w:t>08</w:t>
            </w:r>
          </w:p>
        </w:tc>
      </w:tr>
      <w:tr w:rsidR="005534E1" w14:paraId="56B71917" w14:textId="77777777" w:rsidTr="00A3194F">
        <w:trPr>
          <w:trHeight w:val="315"/>
        </w:trPr>
        <w:tc>
          <w:tcPr>
            <w:tcW w:w="0" w:type="dxa"/>
            <w:noWrap/>
            <w:hideMark/>
          </w:tcPr>
          <w:p w14:paraId="7651512E" w14:textId="77777777" w:rsidR="005534E1" w:rsidRDefault="005534E1" w:rsidP="00A3194F">
            <w:pPr>
              <w:pStyle w:val="TableTextSmaller"/>
            </w:pPr>
            <w:r>
              <w:t>Connecticut</w:t>
            </w:r>
          </w:p>
        </w:tc>
        <w:tc>
          <w:tcPr>
            <w:tcW w:w="0" w:type="dxa"/>
            <w:noWrap/>
            <w:hideMark/>
          </w:tcPr>
          <w:p w14:paraId="28A44B52" w14:textId="77777777" w:rsidR="005534E1" w:rsidRDefault="005534E1" w:rsidP="00A3194F">
            <w:pPr>
              <w:pStyle w:val="TableTextSmaller"/>
            </w:pPr>
            <w:r>
              <w:t>CT</w:t>
            </w:r>
          </w:p>
        </w:tc>
        <w:tc>
          <w:tcPr>
            <w:tcW w:w="0" w:type="dxa"/>
            <w:noWrap/>
            <w:hideMark/>
          </w:tcPr>
          <w:p w14:paraId="41EA5B23" w14:textId="77777777" w:rsidR="005534E1" w:rsidRDefault="005534E1" w:rsidP="00A3194F">
            <w:pPr>
              <w:pStyle w:val="TableTextSmaller"/>
            </w:pPr>
            <w:r>
              <w:t>09</w:t>
            </w:r>
          </w:p>
        </w:tc>
      </w:tr>
      <w:tr w:rsidR="005534E1" w14:paraId="26435D6A" w14:textId="77777777" w:rsidTr="00A3194F">
        <w:trPr>
          <w:trHeight w:val="315"/>
        </w:trPr>
        <w:tc>
          <w:tcPr>
            <w:tcW w:w="0" w:type="dxa"/>
            <w:noWrap/>
            <w:hideMark/>
          </w:tcPr>
          <w:p w14:paraId="494A7D38" w14:textId="77777777" w:rsidR="005534E1" w:rsidRDefault="005534E1" w:rsidP="00A3194F">
            <w:pPr>
              <w:pStyle w:val="TableTextSmaller"/>
            </w:pPr>
            <w:r>
              <w:t>Delaware</w:t>
            </w:r>
          </w:p>
        </w:tc>
        <w:tc>
          <w:tcPr>
            <w:tcW w:w="0" w:type="dxa"/>
            <w:noWrap/>
            <w:hideMark/>
          </w:tcPr>
          <w:p w14:paraId="49B29C78" w14:textId="77777777" w:rsidR="005534E1" w:rsidRDefault="005534E1" w:rsidP="00A3194F">
            <w:pPr>
              <w:pStyle w:val="TableTextSmaller"/>
            </w:pPr>
            <w:r>
              <w:t>DE</w:t>
            </w:r>
          </w:p>
        </w:tc>
        <w:tc>
          <w:tcPr>
            <w:tcW w:w="0" w:type="dxa"/>
            <w:noWrap/>
            <w:hideMark/>
          </w:tcPr>
          <w:p w14:paraId="64297A3D" w14:textId="77777777" w:rsidR="005534E1" w:rsidRDefault="005534E1" w:rsidP="00A3194F">
            <w:pPr>
              <w:pStyle w:val="TableTextSmaller"/>
            </w:pPr>
            <w:r>
              <w:t>10</w:t>
            </w:r>
          </w:p>
        </w:tc>
      </w:tr>
      <w:tr w:rsidR="005534E1" w14:paraId="14EF4137" w14:textId="77777777" w:rsidTr="00A3194F">
        <w:trPr>
          <w:trHeight w:val="315"/>
        </w:trPr>
        <w:tc>
          <w:tcPr>
            <w:tcW w:w="0" w:type="dxa"/>
            <w:noWrap/>
            <w:hideMark/>
          </w:tcPr>
          <w:p w14:paraId="01636A87" w14:textId="77777777" w:rsidR="005534E1" w:rsidRDefault="005534E1" w:rsidP="00A3194F">
            <w:pPr>
              <w:pStyle w:val="TableTextSmaller"/>
            </w:pPr>
            <w:r>
              <w:t>District of Columbia</w:t>
            </w:r>
          </w:p>
        </w:tc>
        <w:tc>
          <w:tcPr>
            <w:tcW w:w="0" w:type="dxa"/>
            <w:noWrap/>
            <w:hideMark/>
          </w:tcPr>
          <w:p w14:paraId="5DFA674D" w14:textId="77777777" w:rsidR="005534E1" w:rsidRDefault="005534E1" w:rsidP="00A3194F">
            <w:pPr>
              <w:pStyle w:val="TableTextSmaller"/>
            </w:pPr>
            <w:r>
              <w:t>DC</w:t>
            </w:r>
          </w:p>
        </w:tc>
        <w:tc>
          <w:tcPr>
            <w:tcW w:w="0" w:type="dxa"/>
            <w:noWrap/>
            <w:hideMark/>
          </w:tcPr>
          <w:p w14:paraId="6A59DFE5" w14:textId="77777777" w:rsidR="005534E1" w:rsidRDefault="005534E1" w:rsidP="00A3194F">
            <w:pPr>
              <w:pStyle w:val="TableTextSmaller"/>
            </w:pPr>
            <w:r>
              <w:t>11</w:t>
            </w:r>
          </w:p>
        </w:tc>
      </w:tr>
      <w:tr w:rsidR="005534E1" w14:paraId="18F579B2" w14:textId="77777777" w:rsidTr="00A3194F">
        <w:trPr>
          <w:trHeight w:val="315"/>
        </w:trPr>
        <w:tc>
          <w:tcPr>
            <w:tcW w:w="0" w:type="dxa"/>
            <w:noWrap/>
            <w:hideMark/>
          </w:tcPr>
          <w:p w14:paraId="39A59979" w14:textId="77777777" w:rsidR="005534E1" w:rsidRDefault="005534E1" w:rsidP="00A3194F">
            <w:pPr>
              <w:pStyle w:val="TableTextSmaller"/>
            </w:pPr>
            <w:r>
              <w:t>Florida</w:t>
            </w:r>
          </w:p>
        </w:tc>
        <w:tc>
          <w:tcPr>
            <w:tcW w:w="0" w:type="dxa"/>
            <w:noWrap/>
            <w:hideMark/>
          </w:tcPr>
          <w:p w14:paraId="20FD7D2B" w14:textId="77777777" w:rsidR="005534E1" w:rsidRDefault="005534E1" w:rsidP="00A3194F">
            <w:pPr>
              <w:pStyle w:val="TableTextSmaller"/>
            </w:pPr>
            <w:r>
              <w:t>FL</w:t>
            </w:r>
          </w:p>
        </w:tc>
        <w:tc>
          <w:tcPr>
            <w:tcW w:w="0" w:type="dxa"/>
            <w:noWrap/>
            <w:hideMark/>
          </w:tcPr>
          <w:p w14:paraId="37B795AA" w14:textId="77777777" w:rsidR="005534E1" w:rsidRDefault="005534E1" w:rsidP="00A3194F">
            <w:pPr>
              <w:pStyle w:val="TableTextSmaller"/>
            </w:pPr>
            <w:r>
              <w:t>12</w:t>
            </w:r>
          </w:p>
        </w:tc>
      </w:tr>
      <w:tr w:rsidR="005534E1" w14:paraId="3CFB43B3" w14:textId="77777777" w:rsidTr="00A3194F">
        <w:trPr>
          <w:trHeight w:val="315"/>
        </w:trPr>
        <w:tc>
          <w:tcPr>
            <w:tcW w:w="0" w:type="dxa"/>
            <w:noWrap/>
            <w:hideMark/>
          </w:tcPr>
          <w:p w14:paraId="1C4A5A76" w14:textId="77777777" w:rsidR="005534E1" w:rsidRDefault="005534E1" w:rsidP="00A3194F">
            <w:pPr>
              <w:pStyle w:val="TableTextSmaller"/>
            </w:pPr>
            <w:r>
              <w:t>Georgia</w:t>
            </w:r>
          </w:p>
        </w:tc>
        <w:tc>
          <w:tcPr>
            <w:tcW w:w="0" w:type="dxa"/>
            <w:noWrap/>
            <w:hideMark/>
          </w:tcPr>
          <w:p w14:paraId="6B7D2E91" w14:textId="77777777" w:rsidR="005534E1" w:rsidRDefault="005534E1" w:rsidP="00A3194F">
            <w:pPr>
              <w:pStyle w:val="TableTextSmaller"/>
            </w:pPr>
            <w:r>
              <w:t>GA</w:t>
            </w:r>
          </w:p>
        </w:tc>
        <w:tc>
          <w:tcPr>
            <w:tcW w:w="0" w:type="dxa"/>
            <w:noWrap/>
            <w:hideMark/>
          </w:tcPr>
          <w:p w14:paraId="3C705861" w14:textId="77777777" w:rsidR="005534E1" w:rsidRDefault="005534E1" w:rsidP="00A3194F">
            <w:pPr>
              <w:pStyle w:val="TableTextSmaller"/>
            </w:pPr>
            <w:r>
              <w:t>13</w:t>
            </w:r>
          </w:p>
        </w:tc>
      </w:tr>
      <w:tr w:rsidR="005534E1" w14:paraId="43A83AE6" w14:textId="77777777" w:rsidTr="00A3194F">
        <w:trPr>
          <w:trHeight w:val="315"/>
        </w:trPr>
        <w:tc>
          <w:tcPr>
            <w:tcW w:w="0" w:type="dxa"/>
            <w:noWrap/>
            <w:hideMark/>
          </w:tcPr>
          <w:p w14:paraId="0E61084A" w14:textId="77777777" w:rsidR="005534E1" w:rsidRDefault="005534E1" w:rsidP="00A3194F">
            <w:pPr>
              <w:pStyle w:val="TableTextSmaller"/>
            </w:pPr>
            <w:r>
              <w:t>Hawaii</w:t>
            </w:r>
          </w:p>
        </w:tc>
        <w:tc>
          <w:tcPr>
            <w:tcW w:w="0" w:type="dxa"/>
            <w:noWrap/>
            <w:hideMark/>
          </w:tcPr>
          <w:p w14:paraId="3B87C5B1" w14:textId="77777777" w:rsidR="005534E1" w:rsidRDefault="005534E1" w:rsidP="00A3194F">
            <w:pPr>
              <w:pStyle w:val="TableTextSmaller"/>
            </w:pPr>
            <w:r>
              <w:t>HI</w:t>
            </w:r>
          </w:p>
        </w:tc>
        <w:tc>
          <w:tcPr>
            <w:tcW w:w="0" w:type="dxa"/>
            <w:noWrap/>
            <w:hideMark/>
          </w:tcPr>
          <w:p w14:paraId="62B7E3BA" w14:textId="77777777" w:rsidR="005534E1" w:rsidRDefault="005534E1" w:rsidP="00A3194F">
            <w:pPr>
              <w:pStyle w:val="TableTextSmaller"/>
            </w:pPr>
            <w:r>
              <w:t>15</w:t>
            </w:r>
          </w:p>
        </w:tc>
      </w:tr>
      <w:tr w:rsidR="005534E1" w14:paraId="41B3DB15" w14:textId="77777777" w:rsidTr="00A3194F">
        <w:trPr>
          <w:trHeight w:val="315"/>
        </w:trPr>
        <w:tc>
          <w:tcPr>
            <w:tcW w:w="0" w:type="dxa"/>
            <w:noWrap/>
            <w:hideMark/>
          </w:tcPr>
          <w:p w14:paraId="27E86BB6" w14:textId="77777777" w:rsidR="005534E1" w:rsidRDefault="005534E1" w:rsidP="00A3194F">
            <w:pPr>
              <w:pStyle w:val="TableTextSmaller"/>
            </w:pPr>
            <w:r>
              <w:t>Idaho</w:t>
            </w:r>
          </w:p>
        </w:tc>
        <w:tc>
          <w:tcPr>
            <w:tcW w:w="0" w:type="dxa"/>
            <w:noWrap/>
            <w:hideMark/>
          </w:tcPr>
          <w:p w14:paraId="1A78FD03" w14:textId="77777777" w:rsidR="005534E1" w:rsidRDefault="005534E1" w:rsidP="00A3194F">
            <w:pPr>
              <w:pStyle w:val="TableTextSmaller"/>
            </w:pPr>
            <w:r>
              <w:t>ID</w:t>
            </w:r>
          </w:p>
        </w:tc>
        <w:tc>
          <w:tcPr>
            <w:tcW w:w="0" w:type="dxa"/>
            <w:noWrap/>
            <w:hideMark/>
          </w:tcPr>
          <w:p w14:paraId="2E8F120A" w14:textId="77777777" w:rsidR="005534E1" w:rsidRDefault="005534E1" w:rsidP="00A3194F">
            <w:pPr>
              <w:pStyle w:val="TableTextSmaller"/>
            </w:pPr>
            <w:r>
              <w:t>16</w:t>
            </w:r>
          </w:p>
        </w:tc>
      </w:tr>
      <w:tr w:rsidR="005534E1" w14:paraId="41F87A28" w14:textId="77777777" w:rsidTr="00A3194F">
        <w:trPr>
          <w:trHeight w:val="315"/>
        </w:trPr>
        <w:tc>
          <w:tcPr>
            <w:tcW w:w="0" w:type="dxa"/>
            <w:noWrap/>
            <w:hideMark/>
          </w:tcPr>
          <w:p w14:paraId="2BE8791D" w14:textId="77777777" w:rsidR="005534E1" w:rsidRDefault="005534E1" w:rsidP="00A3194F">
            <w:pPr>
              <w:pStyle w:val="TableTextSmaller"/>
            </w:pPr>
            <w:r>
              <w:t>Illinois</w:t>
            </w:r>
          </w:p>
        </w:tc>
        <w:tc>
          <w:tcPr>
            <w:tcW w:w="0" w:type="dxa"/>
            <w:noWrap/>
            <w:hideMark/>
          </w:tcPr>
          <w:p w14:paraId="107B2820" w14:textId="77777777" w:rsidR="005534E1" w:rsidRDefault="005534E1" w:rsidP="00A3194F">
            <w:pPr>
              <w:pStyle w:val="TableTextSmaller"/>
            </w:pPr>
            <w:r>
              <w:t>IL</w:t>
            </w:r>
          </w:p>
        </w:tc>
        <w:tc>
          <w:tcPr>
            <w:tcW w:w="0" w:type="dxa"/>
            <w:noWrap/>
            <w:hideMark/>
          </w:tcPr>
          <w:p w14:paraId="5FBF1E41" w14:textId="77777777" w:rsidR="005534E1" w:rsidRDefault="005534E1" w:rsidP="00A3194F">
            <w:pPr>
              <w:pStyle w:val="TableTextSmaller"/>
            </w:pPr>
            <w:r>
              <w:t>17</w:t>
            </w:r>
          </w:p>
        </w:tc>
      </w:tr>
      <w:tr w:rsidR="005534E1" w14:paraId="1B8A421D" w14:textId="77777777" w:rsidTr="00A3194F">
        <w:trPr>
          <w:trHeight w:val="315"/>
        </w:trPr>
        <w:tc>
          <w:tcPr>
            <w:tcW w:w="0" w:type="dxa"/>
            <w:noWrap/>
            <w:hideMark/>
          </w:tcPr>
          <w:p w14:paraId="74732280" w14:textId="77777777" w:rsidR="005534E1" w:rsidRDefault="005534E1" w:rsidP="00A3194F">
            <w:pPr>
              <w:pStyle w:val="TableTextSmaller"/>
            </w:pPr>
            <w:r>
              <w:t>Indiana</w:t>
            </w:r>
          </w:p>
        </w:tc>
        <w:tc>
          <w:tcPr>
            <w:tcW w:w="0" w:type="dxa"/>
            <w:noWrap/>
            <w:hideMark/>
          </w:tcPr>
          <w:p w14:paraId="7FFF7DC2" w14:textId="77777777" w:rsidR="005534E1" w:rsidRDefault="005534E1" w:rsidP="00A3194F">
            <w:pPr>
              <w:pStyle w:val="TableTextSmaller"/>
            </w:pPr>
            <w:r>
              <w:t>IN</w:t>
            </w:r>
          </w:p>
        </w:tc>
        <w:tc>
          <w:tcPr>
            <w:tcW w:w="0" w:type="dxa"/>
            <w:noWrap/>
            <w:hideMark/>
          </w:tcPr>
          <w:p w14:paraId="07888606" w14:textId="77777777" w:rsidR="005534E1" w:rsidRDefault="005534E1" w:rsidP="00A3194F">
            <w:pPr>
              <w:pStyle w:val="TableTextSmaller"/>
            </w:pPr>
            <w:r>
              <w:t>18</w:t>
            </w:r>
          </w:p>
        </w:tc>
      </w:tr>
      <w:tr w:rsidR="005534E1" w14:paraId="5D8F258C" w14:textId="77777777" w:rsidTr="00A3194F">
        <w:trPr>
          <w:trHeight w:val="315"/>
        </w:trPr>
        <w:tc>
          <w:tcPr>
            <w:tcW w:w="0" w:type="dxa"/>
            <w:noWrap/>
            <w:hideMark/>
          </w:tcPr>
          <w:p w14:paraId="22171346" w14:textId="77777777" w:rsidR="005534E1" w:rsidRDefault="005534E1" w:rsidP="00A3194F">
            <w:pPr>
              <w:pStyle w:val="TableTextSmaller"/>
            </w:pPr>
            <w:r>
              <w:t>Iowa</w:t>
            </w:r>
          </w:p>
        </w:tc>
        <w:tc>
          <w:tcPr>
            <w:tcW w:w="0" w:type="dxa"/>
            <w:noWrap/>
            <w:hideMark/>
          </w:tcPr>
          <w:p w14:paraId="6A4B3BDE" w14:textId="77777777" w:rsidR="005534E1" w:rsidRDefault="005534E1" w:rsidP="00A3194F">
            <w:pPr>
              <w:pStyle w:val="TableTextSmaller"/>
            </w:pPr>
            <w:r>
              <w:t>IA</w:t>
            </w:r>
          </w:p>
        </w:tc>
        <w:tc>
          <w:tcPr>
            <w:tcW w:w="0" w:type="dxa"/>
            <w:noWrap/>
            <w:hideMark/>
          </w:tcPr>
          <w:p w14:paraId="6344B2E0" w14:textId="77777777" w:rsidR="005534E1" w:rsidRDefault="005534E1" w:rsidP="00A3194F">
            <w:pPr>
              <w:pStyle w:val="TableTextSmaller"/>
            </w:pPr>
            <w:r>
              <w:t>19</w:t>
            </w:r>
          </w:p>
        </w:tc>
      </w:tr>
      <w:tr w:rsidR="005534E1" w14:paraId="2305280B" w14:textId="77777777" w:rsidTr="00A3194F">
        <w:trPr>
          <w:trHeight w:val="315"/>
        </w:trPr>
        <w:tc>
          <w:tcPr>
            <w:tcW w:w="0" w:type="dxa"/>
            <w:noWrap/>
            <w:hideMark/>
          </w:tcPr>
          <w:p w14:paraId="57A05475" w14:textId="77777777" w:rsidR="005534E1" w:rsidRDefault="005534E1" w:rsidP="00A3194F">
            <w:pPr>
              <w:pStyle w:val="TableTextSmaller"/>
            </w:pPr>
            <w:r>
              <w:t>Kansas</w:t>
            </w:r>
          </w:p>
        </w:tc>
        <w:tc>
          <w:tcPr>
            <w:tcW w:w="0" w:type="dxa"/>
            <w:noWrap/>
            <w:hideMark/>
          </w:tcPr>
          <w:p w14:paraId="3CD4FC39" w14:textId="77777777" w:rsidR="005534E1" w:rsidRDefault="005534E1" w:rsidP="00A3194F">
            <w:pPr>
              <w:pStyle w:val="TableTextSmaller"/>
            </w:pPr>
            <w:r>
              <w:t>KS</w:t>
            </w:r>
          </w:p>
        </w:tc>
        <w:tc>
          <w:tcPr>
            <w:tcW w:w="0" w:type="dxa"/>
            <w:noWrap/>
            <w:hideMark/>
          </w:tcPr>
          <w:p w14:paraId="51DCE9E0" w14:textId="77777777" w:rsidR="005534E1" w:rsidRDefault="005534E1" w:rsidP="00A3194F">
            <w:pPr>
              <w:pStyle w:val="TableTextSmaller"/>
            </w:pPr>
            <w:r>
              <w:t>20</w:t>
            </w:r>
          </w:p>
        </w:tc>
      </w:tr>
      <w:tr w:rsidR="005534E1" w14:paraId="472833F1" w14:textId="77777777" w:rsidTr="00A3194F">
        <w:trPr>
          <w:trHeight w:val="315"/>
        </w:trPr>
        <w:tc>
          <w:tcPr>
            <w:tcW w:w="0" w:type="dxa"/>
            <w:noWrap/>
            <w:hideMark/>
          </w:tcPr>
          <w:p w14:paraId="17DDF688" w14:textId="77777777" w:rsidR="005534E1" w:rsidRDefault="005534E1" w:rsidP="00A3194F">
            <w:pPr>
              <w:pStyle w:val="TableTextSmaller"/>
            </w:pPr>
            <w:r>
              <w:t>Kentucky</w:t>
            </w:r>
          </w:p>
        </w:tc>
        <w:tc>
          <w:tcPr>
            <w:tcW w:w="0" w:type="dxa"/>
            <w:noWrap/>
            <w:hideMark/>
          </w:tcPr>
          <w:p w14:paraId="39476C4A" w14:textId="77777777" w:rsidR="005534E1" w:rsidRDefault="005534E1" w:rsidP="00A3194F">
            <w:pPr>
              <w:pStyle w:val="TableTextSmaller"/>
            </w:pPr>
            <w:r>
              <w:t>KY</w:t>
            </w:r>
          </w:p>
        </w:tc>
        <w:tc>
          <w:tcPr>
            <w:tcW w:w="0" w:type="dxa"/>
            <w:noWrap/>
            <w:hideMark/>
          </w:tcPr>
          <w:p w14:paraId="04122528" w14:textId="77777777" w:rsidR="005534E1" w:rsidRDefault="005534E1" w:rsidP="00A3194F">
            <w:pPr>
              <w:pStyle w:val="TableTextSmaller"/>
            </w:pPr>
            <w:r>
              <w:t>21</w:t>
            </w:r>
          </w:p>
        </w:tc>
      </w:tr>
      <w:tr w:rsidR="005534E1" w14:paraId="496FB298" w14:textId="77777777" w:rsidTr="00A3194F">
        <w:trPr>
          <w:trHeight w:val="315"/>
        </w:trPr>
        <w:tc>
          <w:tcPr>
            <w:tcW w:w="0" w:type="dxa"/>
            <w:noWrap/>
            <w:hideMark/>
          </w:tcPr>
          <w:p w14:paraId="6C5D782B" w14:textId="77777777" w:rsidR="005534E1" w:rsidRDefault="005534E1" w:rsidP="00A3194F">
            <w:pPr>
              <w:pStyle w:val="TableTextSmaller"/>
            </w:pPr>
            <w:r>
              <w:t>Louisiana</w:t>
            </w:r>
          </w:p>
        </w:tc>
        <w:tc>
          <w:tcPr>
            <w:tcW w:w="0" w:type="dxa"/>
            <w:noWrap/>
            <w:hideMark/>
          </w:tcPr>
          <w:p w14:paraId="58D7FEBC" w14:textId="77777777" w:rsidR="005534E1" w:rsidRDefault="005534E1" w:rsidP="00A3194F">
            <w:pPr>
              <w:pStyle w:val="TableTextSmaller"/>
            </w:pPr>
            <w:r>
              <w:t>LA</w:t>
            </w:r>
          </w:p>
        </w:tc>
        <w:tc>
          <w:tcPr>
            <w:tcW w:w="0" w:type="dxa"/>
            <w:noWrap/>
            <w:hideMark/>
          </w:tcPr>
          <w:p w14:paraId="71544889" w14:textId="77777777" w:rsidR="005534E1" w:rsidRDefault="005534E1" w:rsidP="00A3194F">
            <w:pPr>
              <w:pStyle w:val="TableTextSmaller"/>
            </w:pPr>
            <w:r>
              <w:t>22</w:t>
            </w:r>
          </w:p>
        </w:tc>
      </w:tr>
      <w:tr w:rsidR="005534E1" w14:paraId="46863A4E" w14:textId="77777777" w:rsidTr="00A3194F">
        <w:trPr>
          <w:trHeight w:val="315"/>
        </w:trPr>
        <w:tc>
          <w:tcPr>
            <w:tcW w:w="0" w:type="dxa"/>
            <w:noWrap/>
            <w:hideMark/>
          </w:tcPr>
          <w:p w14:paraId="5D2350C0" w14:textId="77777777" w:rsidR="005534E1" w:rsidRDefault="005534E1" w:rsidP="00A3194F">
            <w:pPr>
              <w:pStyle w:val="TableTextSmaller"/>
            </w:pPr>
            <w:r>
              <w:t>Maine</w:t>
            </w:r>
          </w:p>
        </w:tc>
        <w:tc>
          <w:tcPr>
            <w:tcW w:w="0" w:type="dxa"/>
            <w:noWrap/>
            <w:hideMark/>
          </w:tcPr>
          <w:p w14:paraId="2EDDC64B" w14:textId="77777777" w:rsidR="005534E1" w:rsidRDefault="005534E1" w:rsidP="00A3194F">
            <w:pPr>
              <w:pStyle w:val="TableTextSmaller"/>
            </w:pPr>
            <w:r>
              <w:t>ME</w:t>
            </w:r>
          </w:p>
        </w:tc>
        <w:tc>
          <w:tcPr>
            <w:tcW w:w="0" w:type="dxa"/>
            <w:noWrap/>
            <w:hideMark/>
          </w:tcPr>
          <w:p w14:paraId="0D0CFE58" w14:textId="77777777" w:rsidR="005534E1" w:rsidRDefault="005534E1" w:rsidP="00A3194F">
            <w:pPr>
              <w:pStyle w:val="TableTextSmaller"/>
            </w:pPr>
            <w:r>
              <w:t>23</w:t>
            </w:r>
          </w:p>
        </w:tc>
      </w:tr>
      <w:tr w:rsidR="005534E1" w14:paraId="19264CCB" w14:textId="77777777" w:rsidTr="00A3194F">
        <w:trPr>
          <w:trHeight w:val="315"/>
        </w:trPr>
        <w:tc>
          <w:tcPr>
            <w:tcW w:w="0" w:type="dxa"/>
            <w:noWrap/>
            <w:hideMark/>
          </w:tcPr>
          <w:p w14:paraId="26778EFD" w14:textId="77777777" w:rsidR="005534E1" w:rsidRDefault="005534E1" w:rsidP="00A3194F">
            <w:pPr>
              <w:pStyle w:val="TableTextSmaller"/>
            </w:pPr>
            <w:r>
              <w:t>Maryland</w:t>
            </w:r>
          </w:p>
        </w:tc>
        <w:tc>
          <w:tcPr>
            <w:tcW w:w="0" w:type="dxa"/>
            <w:noWrap/>
            <w:hideMark/>
          </w:tcPr>
          <w:p w14:paraId="53B552C8" w14:textId="77777777" w:rsidR="005534E1" w:rsidRDefault="005534E1" w:rsidP="00A3194F">
            <w:pPr>
              <w:pStyle w:val="TableTextSmaller"/>
            </w:pPr>
            <w:r>
              <w:t>MD</w:t>
            </w:r>
          </w:p>
        </w:tc>
        <w:tc>
          <w:tcPr>
            <w:tcW w:w="0" w:type="dxa"/>
            <w:noWrap/>
            <w:hideMark/>
          </w:tcPr>
          <w:p w14:paraId="6E359872" w14:textId="77777777" w:rsidR="005534E1" w:rsidRDefault="005534E1" w:rsidP="00A3194F">
            <w:pPr>
              <w:pStyle w:val="TableTextSmaller"/>
            </w:pPr>
            <w:r>
              <w:t>24</w:t>
            </w:r>
          </w:p>
        </w:tc>
      </w:tr>
      <w:tr w:rsidR="005534E1" w14:paraId="1BB0BD60" w14:textId="77777777" w:rsidTr="00A3194F">
        <w:trPr>
          <w:trHeight w:val="315"/>
        </w:trPr>
        <w:tc>
          <w:tcPr>
            <w:tcW w:w="0" w:type="dxa"/>
            <w:noWrap/>
            <w:hideMark/>
          </w:tcPr>
          <w:p w14:paraId="6D5CD97E" w14:textId="77777777" w:rsidR="005534E1" w:rsidRDefault="005534E1" w:rsidP="00A3194F">
            <w:pPr>
              <w:pStyle w:val="TableTextSmaller"/>
            </w:pPr>
            <w:r>
              <w:t>Massachusetts</w:t>
            </w:r>
          </w:p>
        </w:tc>
        <w:tc>
          <w:tcPr>
            <w:tcW w:w="0" w:type="dxa"/>
            <w:noWrap/>
            <w:hideMark/>
          </w:tcPr>
          <w:p w14:paraId="1E109722" w14:textId="77777777" w:rsidR="005534E1" w:rsidRDefault="005534E1" w:rsidP="00A3194F">
            <w:pPr>
              <w:pStyle w:val="TableTextSmaller"/>
            </w:pPr>
            <w:r>
              <w:t>MA</w:t>
            </w:r>
          </w:p>
        </w:tc>
        <w:tc>
          <w:tcPr>
            <w:tcW w:w="0" w:type="dxa"/>
            <w:noWrap/>
            <w:hideMark/>
          </w:tcPr>
          <w:p w14:paraId="7D82BD9A" w14:textId="77777777" w:rsidR="005534E1" w:rsidRDefault="005534E1" w:rsidP="00A3194F">
            <w:pPr>
              <w:pStyle w:val="TableTextSmaller"/>
            </w:pPr>
            <w:r>
              <w:t>25</w:t>
            </w:r>
          </w:p>
        </w:tc>
      </w:tr>
      <w:tr w:rsidR="005534E1" w14:paraId="39F42B3C" w14:textId="77777777" w:rsidTr="00A3194F">
        <w:trPr>
          <w:trHeight w:val="315"/>
        </w:trPr>
        <w:tc>
          <w:tcPr>
            <w:tcW w:w="0" w:type="dxa"/>
            <w:noWrap/>
            <w:hideMark/>
          </w:tcPr>
          <w:p w14:paraId="665DCC3D" w14:textId="77777777" w:rsidR="005534E1" w:rsidRDefault="005534E1" w:rsidP="00A3194F">
            <w:pPr>
              <w:pStyle w:val="TableTextSmaller"/>
            </w:pPr>
            <w:r>
              <w:t>Michigan</w:t>
            </w:r>
          </w:p>
        </w:tc>
        <w:tc>
          <w:tcPr>
            <w:tcW w:w="0" w:type="dxa"/>
            <w:noWrap/>
            <w:hideMark/>
          </w:tcPr>
          <w:p w14:paraId="37711B20" w14:textId="77777777" w:rsidR="005534E1" w:rsidRDefault="005534E1" w:rsidP="00A3194F">
            <w:pPr>
              <w:pStyle w:val="TableTextSmaller"/>
            </w:pPr>
            <w:r>
              <w:t>MI</w:t>
            </w:r>
          </w:p>
        </w:tc>
        <w:tc>
          <w:tcPr>
            <w:tcW w:w="0" w:type="dxa"/>
            <w:noWrap/>
            <w:hideMark/>
          </w:tcPr>
          <w:p w14:paraId="092A61BC" w14:textId="77777777" w:rsidR="005534E1" w:rsidRDefault="005534E1" w:rsidP="00A3194F">
            <w:pPr>
              <w:pStyle w:val="TableTextSmaller"/>
            </w:pPr>
            <w:r>
              <w:t>26</w:t>
            </w:r>
          </w:p>
        </w:tc>
      </w:tr>
      <w:tr w:rsidR="005534E1" w14:paraId="3335D490" w14:textId="77777777" w:rsidTr="00A3194F">
        <w:trPr>
          <w:trHeight w:val="315"/>
        </w:trPr>
        <w:tc>
          <w:tcPr>
            <w:tcW w:w="0" w:type="dxa"/>
            <w:noWrap/>
            <w:hideMark/>
          </w:tcPr>
          <w:p w14:paraId="672B70A4" w14:textId="77777777" w:rsidR="005534E1" w:rsidRDefault="005534E1" w:rsidP="00A3194F">
            <w:pPr>
              <w:pStyle w:val="TableTextSmaller"/>
            </w:pPr>
            <w:r>
              <w:t>Minnesota</w:t>
            </w:r>
          </w:p>
        </w:tc>
        <w:tc>
          <w:tcPr>
            <w:tcW w:w="0" w:type="dxa"/>
            <w:noWrap/>
            <w:hideMark/>
          </w:tcPr>
          <w:p w14:paraId="088D273D" w14:textId="77777777" w:rsidR="005534E1" w:rsidRDefault="005534E1" w:rsidP="00A3194F">
            <w:pPr>
              <w:pStyle w:val="TableTextSmaller"/>
            </w:pPr>
            <w:r>
              <w:t>MN</w:t>
            </w:r>
          </w:p>
        </w:tc>
        <w:tc>
          <w:tcPr>
            <w:tcW w:w="0" w:type="dxa"/>
            <w:noWrap/>
            <w:hideMark/>
          </w:tcPr>
          <w:p w14:paraId="2A26F29A" w14:textId="77777777" w:rsidR="005534E1" w:rsidRDefault="005534E1" w:rsidP="00A3194F">
            <w:pPr>
              <w:pStyle w:val="TableTextSmaller"/>
            </w:pPr>
            <w:r>
              <w:t>27</w:t>
            </w:r>
          </w:p>
        </w:tc>
      </w:tr>
      <w:tr w:rsidR="005534E1" w14:paraId="31B72BEE" w14:textId="77777777" w:rsidTr="00A3194F">
        <w:trPr>
          <w:trHeight w:val="315"/>
        </w:trPr>
        <w:tc>
          <w:tcPr>
            <w:tcW w:w="0" w:type="dxa"/>
            <w:noWrap/>
            <w:hideMark/>
          </w:tcPr>
          <w:p w14:paraId="33287141" w14:textId="77777777" w:rsidR="005534E1" w:rsidRDefault="005534E1" w:rsidP="00A3194F">
            <w:pPr>
              <w:pStyle w:val="TableTextSmaller"/>
            </w:pPr>
            <w:r>
              <w:t>Mississippi</w:t>
            </w:r>
          </w:p>
        </w:tc>
        <w:tc>
          <w:tcPr>
            <w:tcW w:w="0" w:type="dxa"/>
            <w:noWrap/>
            <w:hideMark/>
          </w:tcPr>
          <w:p w14:paraId="318D9565" w14:textId="77777777" w:rsidR="005534E1" w:rsidRDefault="005534E1" w:rsidP="00A3194F">
            <w:pPr>
              <w:pStyle w:val="TableTextSmaller"/>
            </w:pPr>
            <w:r>
              <w:t>MS</w:t>
            </w:r>
          </w:p>
        </w:tc>
        <w:tc>
          <w:tcPr>
            <w:tcW w:w="0" w:type="dxa"/>
            <w:noWrap/>
            <w:hideMark/>
          </w:tcPr>
          <w:p w14:paraId="1FA901CF" w14:textId="77777777" w:rsidR="005534E1" w:rsidRDefault="005534E1" w:rsidP="00A3194F">
            <w:pPr>
              <w:pStyle w:val="TableTextSmaller"/>
            </w:pPr>
            <w:r>
              <w:t>28</w:t>
            </w:r>
          </w:p>
        </w:tc>
      </w:tr>
      <w:tr w:rsidR="005534E1" w14:paraId="553F7887" w14:textId="77777777" w:rsidTr="00A3194F">
        <w:trPr>
          <w:trHeight w:val="315"/>
        </w:trPr>
        <w:tc>
          <w:tcPr>
            <w:tcW w:w="0" w:type="dxa"/>
            <w:noWrap/>
            <w:hideMark/>
          </w:tcPr>
          <w:p w14:paraId="5B1D191C" w14:textId="77777777" w:rsidR="005534E1" w:rsidRDefault="005534E1" w:rsidP="00A3194F">
            <w:pPr>
              <w:pStyle w:val="TableTextSmaller"/>
            </w:pPr>
            <w:r>
              <w:t>Missouri</w:t>
            </w:r>
          </w:p>
        </w:tc>
        <w:tc>
          <w:tcPr>
            <w:tcW w:w="0" w:type="dxa"/>
            <w:noWrap/>
            <w:hideMark/>
          </w:tcPr>
          <w:p w14:paraId="0659243D" w14:textId="77777777" w:rsidR="005534E1" w:rsidRDefault="005534E1" w:rsidP="00A3194F">
            <w:pPr>
              <w:pStyle w:val="TableTextSmaller"/>
            </w:pPr>
            <w:r>
              <w:t>MO</w:t>
            </w:r>
          </w:p>
        </w:tc>
        <w:tc>
          <w:tcPr>
            <w:tcW w:w="0" w:type="dxa"/>
            <w:noWrap/>
            <w:hideMark/>
          </w:tcPr>
          <w:p w14:paraId="24CFDC34" w14:textId="77777777" w:rsidR="005534E1" w:rsidRDefault="005534E1" w:rsidP="00A3194F">
            <w:pPr>
              <w:pStyle w:val="TableTextSmaller"/>
            </w:pPr>
            <w:r>
              <w:t>29</w:t>
            </w:r>
          </w:p>
        </w:tc>
      </w:tr>
      <w:tr w:rsidR="005534E1" w14:paraId="6C6AB7EB" w14:textId="77777777" w:rsidTr="00A3194F">
        <w:trPr>
          <w:trHeight w:val="315"/>
        </w:trPr>
        <w:tc>
          <w:tcPr>
            <w:tcW w:w="0" w:type="dxa"/>
            <w:noWrap/>
            <w:hideMark/>
          </w:tcPr>
          <w:p w14:paraId="7EFFB160" w14:textId="77777777" w:rsidR="005534E1" w:rsidRDefault="005534E1" w:rsidP="00A3194F">
            <w:pPr>
              <w:pStyle w:val="TableTextSmaller"/>
            </w:pPr>
            <w:r>
              <w:t>Montana</w:t>
            </w:r>
          </w:p>
        </w:tc>
        <w:tc>
          <w:tcPr>
            <w:tcW w:w="0" w:type="dxa"/>
            <w:noWrap/>
            <w:hideMark/>
          </w:tcPr>
          <w:p w14:paraId="3244A404" w14:textId="77777777" w:rsidR="005534E1" w:rsidRDefault="005534E1" w:rsidP="00A3194F">
            <w:pPr>
              <w:pStyle w:val="TableTextSmaller"/>
            </w:pPr>
            <w:r>
              <w:t>MT</w:t>
            </w:r>
          </w:p>
        </w:tc>
        <w:tc>
          <w:tcPr>
            <w:tcW w:w="0" w:type="dxa"/>
            <w:noWrap/>
            <w:hideMark/>
          </w:tcPr>
          <w:p w14:paraId="0E54F5EA" w14:textId="77777777" w:rsidR="005534E1" w:rsidRDefault="005534E1" w:rsidP="00A3194F">
            <w:pPr>
              <w:pStyle w:val="TableTextSmaller"/>
            </w:pPr>
            <w:r>
              <w:t>30</w:t>
            </w:r>
          </w:p>
        </w:tc>
      </w:tr>
      <w:tr w:rsidR="005534E1" w14:paraId="65029108" w14:textId="77777777" w:rsidTr="00A3194F">
        <w:trPr>
          <w:trHeight w:val="315"/>
        </w:trPr>
        <w:tc>
          <w:tcPr>
            <w:tcW w:w="0" w:type="dxa"/>
            <w:noWrap/>
            <w:hideMark/>
          </w:tcPr>
          <w:p w14:paraId="551EAF20" w14:textId="77777777" w:rsidR="005534E1" w:rsidRDefault="005534E1" w:rsidP="00A3194F">
            <w:pPr>
              <w:pStyle w:val="TableTextSmaller"/>
            </w:pPr>
            <w:r>
              <w:t>Nebraska</w:t>
            </w:r>
          </w:p>
        </w:tc>
        <w:tc>
          <w:tcPr>
            <w:tcW w:w="0" w:type="dxa"/>
            <w:noWrap/>
            <w:hideMark/>
          </w:tcPr>
          <w:p w14:paraId="1531491A" w14:textId="77777777" w:rsidR="005534E1" w:rsidRDefault="005534E1" w:rsidP="00A3194F">
            <w:pPr>
              <w:pStyle w:val="TableTextSmaller"/>
            </w:pPr>
            <w:r>
              <w:t>NE</w:t>
            </w:r>
          </w:p>
        </w:tc>
        <w:tc>
          <w:tcPr>
            <w:tcW w:w="0" w:type="dxa"/>
            <w:noWrap/>
            <w:hideMark/>
          </w:tcPr>
          <w:p w14:paraId="1ECE2232" w14:textId="77777777" w:rsidR="005534E1" w:rsidRDefault="005534E1" w:rsidP="00A3194F">
            <w:pPr>
              <w:pStyle w:val="TableTextSmaller"/>
            </w:pPr>
            <w:r>
              <w:t>31</w:t>
            </w:r>
          </w:p>
        </w:tc>
      </w:tr>
      <w:tr w:rsidR="005534E1" w14:paraId="2153DE29" w14:textId="77777777" w:rsidTr="00A3194F">
        <w:trPr>
          <w:trHeight w:val="315"/>
        </w:trPr>
        <w:tc>
          <w:tcPr>
            <w:tcW w:w="0" w:type="dxa"/>
            <w:noWrap/>
            <w:hideMark/>
          </w:tcPr>
          <w:p w14:paraId="2E82DAF1" w14:textId="77777777" w:rsidR="005534E1" w:rsidRDefault="005534E1" w:rsidP="00A3194F">
            <w:pPr>
              <w:pStyle w:val="TableTextSmaller"/>
            </w:pPr>
            <w:r>
              <w:t>Nevada</w:t>
            </w:r>
          </w:p>
        </w:tc>
        <w:tc>
          <w:tcPr>
            <w:tcW w:w="0" w:type="dxa"/>
            <w:noWrap/>
            <w:hideMark/>
          </w:tcPr>
          <w:p w14:paraId="6D160CC4" w14:textId="77777777" w:rsidR="005534E1" w:rsidRDefault="005534E1" w:rsidP="00A3194F">
            <w:pPr>
              <w:pStyle w:val="TableTextSmaller"/>
            </w:pPr>
            <w:r>
              <w:t>NV</w:t>
            </w:r>
          </w:p>
        </w:tc>
        <w:tc>
          <w:tcPr>
            <w:tcW w:w="0" w:type="dxa"/>
            <w:noWrap/>
            <w:hideMark/>
          </w:tcPr>
          <w:p w14:paraId="01F4A468" w14:textId="77777777" w:rsidR="005534E1" w:rsidRDefault="005534E1" w:rsidP="00A3194F">
            <w:pPr>
              <w:pStyle w:val="TableTextSmaller"/>
            </w:pPr>
            <w:r>
              <w:t>32</w:t>
            </w:r>
          </w:p>
        </w:tc>
      </w:tr>
      <w:tr w:rsidR="005534E1" w14:paraId="1B0C9485" w14:textId="77777777" w:rsidTr="00A3194F">
        <w:trPr>
          <w:trHeight w:val="315"/>
        </w:trPr>
        <w:tc>
          <w:tcPr>
            <w:tcW w:w="0" w:type="dxa"/>
            <w:noWrap/>
            <w:hideMark/>
          </w:tcPr>
          <w:p w14:paraId="297E7D1A" w14:textId="77777777" w:rsidR="005534E1" w:rsidRDefault="005534E1" w:rsidP="00A3194F">
            <w:pPr>
              <w:pStyle w:val="TableTextSmaller"/>
            </w:pPr>
            <w:r>
              <w:t>New Hampshire</w:t>
            </w:r>
          </w:p>
        </w:tc>
        <w:tc>
          <w:tcPr>
            <w:tcW w:w="0" w:type="dxa"/>
            <w:noWrap/>
            <w:hideMark/>
          </w:tcPr>
          <w:p w14:paraId="74920D62" w14:textId="77777777" w:rsidR="005534E1" w:rsidRDefault="005534E1" w:rsidP="00A3194F">
            <w:pPr>
              <w:pStyle w:val="TableTextSmaller"/>
            </w:pPr>
            <w:r>
              <w:t>NH</w:t>
            </w:r>
          </w:p>
        </w:tc>
        <w:tc>
          <w:tcPr>
            <w:tcW w:w="0" w:type="dxa"/>
            <w:noWrap/>
            <w:hideMark/>
          </w:tcPr>
          <w:p w14:paraId="2218589F" w14:textId="77777777" w:rsidR="005534E1" w:rsidRDefault="005534E1" w:rsidP="00A3194F">
            <w:pPr>
              <w:pStyle w:val="TableTextSmaller"/>
            </w:pPr>
            <w:r>
              <w:t>33</w:t>
            </w:r>
          </w:p>
        </w:tc>
      </w:tr>
      <w:tr w:rsidR="005534E1" w14:paraId="5548A74B" w14:textId="77777777" w:rsidTr="00A3194F">
        <w:trPr>
          <w:trHeight w:val="315"/>
        </w:trPr>
        <w:tc>
          <w:tcPr>
            <w:tcW w:w="0" w:type="dxa"/>
            <w:noWrap/>
            <w:hideMark/>
          </w:tcPr>
          <w:p w14:paraId="4CAA741A" w14:textId="77777777" w:rsidR="005534E1" w:rsidRDefault="005534E1" w:rsidP="00A3194F">
            <w:pPr>
              <w:pStyle w:val="TableTextSmaller"/>
            </w:pPr>
            <w:r>
              <w:t>New Jersey</w:t>
            </w:r>
          </w:p>
        </w:tc>
        <w:tc>
          <w:tcPr>
            <w:tcW w:w="0" w:type="dxa"/>
            <w:noWrap/>
            <w:hideMark/>
          </w:tcPr>
          <w:p w14:paraId="4234F5B8" w14:textId="77777777" w:rsidR="005534E1" w:rsidRDefault="005534E1" w:rsidP="00A3194F">
            <w:pPr>
              <w:pStyle w:val="TableTextSmaller"/>
            </w:pPr>
            <w:r>
              <w:t>NJ</w:t>
            </w:r>
          </w:p>
        </w:tc>
        <w:tc>
          <w:tcPr>
            <w:tcW w:w="0" w:type="dxa"/>
            <w:noWrap/>
            <w:hideMark/>
          </w:tcPr>
          <w:p w14:paraId="04C35962" w14:textId="77777777" w:rsidR="005534E1" w:rsidRDefault="005534E1" w:rsidP="00A3194F">
            <w:pPr>
              <w:pStyle w:val="TableTextSmaller"/>
            </w:pPr>
            <w:r>
              <w:t>34</w:t>
            </w:r>
          </w:p>
        </w:tc>
      </w:tr>
      <w:tr w:rsidR="005534E1" w14:paraId="2286305F" w14:textId="77777777" w:rsidTr="00A3194F">
        <w:trPr>
          <w:trHeight w:val="315"/>
        </w:trPr>
        <w:tc>
          <w:tcPr>
            <w:tcW w:w="0" w:type="dxa"/>
            <w:noWrap/>
            <w:hideMark/>
          </w:tcPr>
          <w:p w14:paraId="5F46C5E8" w14:textId="77777777" w:rsidR="005534E1" w:rsidRDefault="005534E1" w:rsidP="00A3194F">
            <w:pPr>
              <w:pStyle w:val="TableTextSmaller"/>
            </w:pPr>
            <w:r>
              <w:t>New Mexico</w:t>
            </w:r>
          </w:p>
        </w:tc>
        <w:tc>
          <w:tcPr>
            <w:tcW w:w="0" w:type="dxa"/>
            <w:noWrap/>
            <w:hideMark/>
          </w:tcPr>
          <w:p w14:paraId="39233112" w14:textId="77777777" w:rsidR="005534E1" w:rsidRDefault="005534E1" w:rsidP="00A3194F">
            <w:pPr>
              <w:pStyle w:val="TableTextSmaller"/>
            </w:pPr>
            <w:r>
              <w:t>NM</w:t>
            </w:r>
          </w:p>
        </w:tc>
        <w:tc>
          <w:tcPr>
            <w:tcW w:w="0" w:type="dxa"/>
            <w:noWrap/>
            <w:hideMark/>
          </w:tcPr>
          <w:p w14:paraId="161E4693" w14:textId="77777777" w:rsidR="005534E1" w:rsidRDefault="005534E1" w:rsidP="00A3194F">
            <w:pPr>
              <w:pStyle w:val="TableTextSmaller"/>
            </w:pPr>
            <w:r>
              <w:t>35</w:t>
            </w:r>
          </w:p>
        </w:tc>
      </w:tr>
      <w:tr w:rsidR="005534E1" w14:paraId="05C2564B" w14:textId="77777777" w:rsidTr="00A3194F">
        <w:trPr>
          <w:trHeight w:val="315"/>
        </w:trPr>
        <w:tc>
          <w:tcPr>
            <w:tcW w:w="0" w:type="dxa"/>
            <w:noWrap/>
            <w:hideMark/>
          </w:tcPr>
          <w:p w14:paraId="10FA847B" w14:textId="77777777" w:rsidR="005534E1" w:rsidRDefault="005534E1" w:rsidP="00A3194F">
            <w:pPr>
              <w:pStyle w:val="TableTextSmaller"/>
            </w:pPr>
            <w:r>
              <w:t>New York</w:t>
            </w:r>
          </w:p>
        </w:tc>
        <w:tc>
          <w:tcPr>
            <w:tcW w:w="0" w:type="dxa"/>
            <w:noWrap/>
            <w:hideMark/>
          </w:tcPr>
          <w:p w14:paraId="75B91F99" w14:textId="77777777" w:rsidR="005534E1" w:rsidRDefault="005534E1" w:rsidP="00A3194F">
            <w:pPr>
              <w:pStyle w:val="TableTextSmaller"/>
            </w:pPr>
            <w:r>
              <w:t>NY</w:t>
            </w:r>
          </w:p>
        </w:tc>
        <w:tc>
          <w:tcPr>
            <w:tcW w:w="0" w:type="dxa"/>
            <w:noWrap/>
            <w:hideMark/>
          </w:tcPr>
          <w:p w14:paraId="59FE2445" w14:textId="77777777" w:rsidR="005534E1" w:rsidRDefault="005534E1" w:rsidP="00A3194F">
            <w:pPr>
              <w:pStyle w:val="TableTextSmaller"/>
            </w:pPr>
            <w:r>
              <w:t>36</w:t>
            </w:r>
          </w:p>
        </w:tc>
      </w:tr>
      <w:tr w:rsidR="005534E1" w14:paraId="506B15B6" w14:textId="77777777" w:rsidTr="00A3194F">
        <w:trPr>
          <w:trHeight w:val="315"/>
        </w:trPr>
        <w:tc>
          <w:tcPr>
            <w:tcW w:w="0" w:type="dxa"/>
            <w:noWrap/>
            <w:hideMark/>
          </w:tcPr>
          <w:p w14:paraId="0B752BF4" w14:textId="77777777" w:rsidR="005534E1" w:rsidRDefault="005534E1" w:rsidP="00A3194F">
            <w:pPr>
              <w:pStyle w:val="TableTextSmaller"/>
            </w:pPr>
            <w:r>
              <w:t>North Carolina</w:t>
            </w:r>
          </w:p>
        </w:tc>
        <w:tc>
          <w:tcPr>
            <w:tcW w:w="0" w:type="dxa"/>
            <w:noWrap/>
            <w:hideMark/>
          </w:tcPr>
          <w:p w14:paraId="2923E5AA" w14:textId="77777777" w:rsidR="005534E1" w:rsidRDefault="005534E1" w:rsidP="00A3194F">
            <w:pPr>
              <w:pStyle w:val="TableTextSmaller"/>
            </w:pPr>
            <w:r>
              <w:t>NC</w:t>
            </w:r>
          </w:p>
        </w:tc>
        <w:tc>
          <w:tcPr>
            <w:tcW w:w="0" w:type="dxa"/>
            <w:noWrap/>
            <w:hideMark/>
          </w:tcPr>
          <w:p w14:paraId="612E832C" w14:textId="77777777" w:rsidR="005534E1" w:rsidRDefault="005534E1" w:rsidP="00A3194F">
            <w:pPr>
              <w:pStyle w:val="TableTextSmaller"/>
            </w:pPr>
            <w:r>
              <w:t>37</w:t>
            </w:r>
          </w:p>
        </w:tc>
      </w:tr>
      <w:tr w:rsidR="005534E1" w14:paraId="18341B6E" w14:textId="77777777" w:rsidTr="00A3194F">
        <w:trPr>
          <w:trHeight w:val="315"/>
        </w:trPr>
        <w:tc>
          <w:tcPr>
            <w:tcW w:w="0" w:type="dxa"/>
            <w:noWrap/>
            <w:hideMark/>
          </w:tcPr>
          <w:p w14:paraId="372CC215" w14:textId="77777777" w:rsidR="005534E1" w:rsidRDefault="005534E1" w:rsidP="00A3194F">
            <w:pPr>
              <w:pStyle w:val="TableTextSmaller"/>
            </w:pPr>
            <w:r>
              <w:t>North Dakota</w:t>
            </w:r>
          </w:p>
        </w:tc>
        <w:tc>
          <w:tcPr>
            <w:tcW w:w="0" w:type="dxa"/>
            <w:noWrap/>
            <w:hideMark/>
          </w:tcPr>
          <w:p w14:paraId="4B1E66BC" w14:textId="77777777" w:rsidR="005534E1" w:rsidRDefault="005534E1" w:rsidP="00A3194F">
            <w:pPr>
              <w:pStyle w:val="TableTextSmaller"/>
            </w:pPr>
            <w:r>
              <w:t>ND</w:t>
            </w:r>
          </w:p>
        </w:tc>
        <w:tc>
          <w:tcPr>
            <w:tcW w:w="0" w:type="dxa"/>
            <w:noWrap/>
            <w:hideMark/>
          </w:tcPr>
          <w:p w14:paraId="68582298" w14:textId="77777777" w:rsidR="005534E1" w:rsidRDefault="005534E1" w:rsidP="00A3194F">
            <w:pPr>
              <w:pStyle w:val="TableTextSmaller"/>
            </w:pPr>
            <w:r>
              <w:t>38</w:t>
            </w:r>
          </w:p>
        </w:tc>
      </w:tr>
      <w:tr w:rsidR="005534E1" w14:paraId="4D92BE59" w14:textId="77777777" w:rsidTr="00A3194F">
        <w:trPr>
          <w:trHeight w:val="315"/>
        </w:trPr>
        <w:tc>
          <w:tcPr>
            <w:tcW w:w="0" w:type="dxa"/>
            <w:noWrap/>
            <w:hideMark/>
          </w:tcPr>
          <w:p w14:paraId="220D0841" w14:textId="77777777" w:rsidR="005534E1" w:rsidRDefault="005534E1" w:rsidP="00A3194F">
            <w:pPr>
              <w:pStyle w:val="TableTextSmaller"/>
            </w:pPr>
            <w:r>
              <w:t>Ohio</w:t>
            </w:r>
          </w:p>
        </w:tc>
        <w:tc>
          <w:tcPr>
            <w:tcW w:w="0" w:type="dxa"/>
            <w:noWrap/>
            <w:hideMark/>
          </w:tcPr>
          <w:p w14:paraId="69026F6A" w14:textId="77777777" w:rsidR="005534E1" w:rsidRDefault="005534E1" w:rsidP="00A3194F">
            <w:pPr>
              <w:pStyle w:val="TableTextSmaller"/>
            </w:pPr>
            <w:r>
              <w:t>OH</w:t>
            </w:r>
          </w:p>
        </w:tc>
        <w:tc>
          <w:tcPr>
            <w:tcW w:w="0" w:type="dxa"/>
            <w:noWrap/>
            <w:hideMark/>
          </w:tcPr>
          <w:p w14:paraId="1D79327E" w14:textId="77777777" w:rsidR="005534E1" w:rsidRDefault="005534E1" w:rsidP="00A3194F">
            <w:pPr>
              <w:pStyle w:val="TableTextSmaller"/>
            </w:pPr>
            <w:r>
              <w:t>39</w:t>
            </w:r>
          </w:p>
        </w:tc>
      </w:tr>
      <w:tr w:rsidR="005534E1" w14:paraId="388B1985" w14:textId="77777777" w:rsidTr="00A3194F">
        <w:trPr>
          <w:trHeight w:val="315"/>
        </w:trPr>
        <w:tc>
          <w:tcPr>
            <w:tcW w:w="0" w:type="dxa"/>
            <w:noWrap/>
            <w:hideMark/>
          </w:tcPr>
          <w:p w14:paraId="119D4D7A" w14:textId="77777777" w:rsidR="005534E1" w:rsidRDefault="005534E1" w:rsidP="00A3194F">
            <w:pPr>
              <w:pStyle w:val="TableTextSmaller"/>
            </w:pPr>
            <w:r>
              <w:lastRenderedPageBreak/>
              <w:t>Oklahoma</w:t>
            </w:r>
          </w:p>
        </w:tc>
        <w:tc>
          <w:tcPr>
            <w:tcW w:w="0" w:type="dxa"/>
            <w:noWrap/>
            <w:hideMark/>
          </w:tcPr>
          <w:p w14:paraId="5AB1FF6F" w14:textId="77777777" w:rsidR="005534E1" w:rsidRDefault="005534E1" w:rsidP="00A3194F">
            <w:pPr>
              <w:pStyle w:val="TableTextSmaller"/>
            </w:pPr>
            <w:r>
              <w:t>OK</w:t>
            </w:r>
          </w:p>
        </w:tc>
        <w:tc>
          <w:tcPr>
            <w:tcW w:w="0" w:type="dxa"/>
            <w:noWrap/>
            <w:hideMark/>
          </w:tcPr>
          <w:p w14:paraId="79A1356A" w14:textId="77777777" w:rsidR="005534E1" w:rsidRDefault="005534E1" w:rsidP="00A3194F">
            <w:pPr>
              <w:pStyle w:val="TableTextSmaller"/>
            </w:pPr>
            <w:r>
              <w:t>40</w:t>
            </w:r>
          </w:p>
        </w:tc>
      </w:tr>
      <w:tr w:rsidR="005534E1" w14:paraId="24E4964E" w14:textId="77777777" w:rsidTr="00A3194F">
        <w:trPr>
          <w:trHeight w:val="315"/>
        </w:trPr>
        <w:tc>
          <w:tcPr>
            <w:tcW w:w="0" w:type="dxa"/>
            <w:noWrap/>
            <w:hideMark/>
          </w:tcPr>
          <w:p w14:paraId="4B5EE074" w14:textId="77777777" w:rsidR="005534E1" w:rsidRDefault="005534E1" w:rsidP="00A3194F">
            <w:pPr>
              <w:pStyle w:val="TableTextSmaller"/>
            </w:pPr>
            <w:r>
              <w:t>Oregon</w:t>
            </w:r>
          </w:p>
        </w:tc>
        <w:tc>
          <w:tcPr>
            <w:tcW w:w="0" w:type="dxa"/>
            <w:noWrap/>
            <w:hideMark/>
          </w:tcPr>
          <w:p w14:paraId="11D59384" w14:textId="77777777" w:rsidR="005534E1" w:rsidRDefault="005534E1" w:rsidP="00A3194F">
            <w:pPr>
              <w:pStyle w:val="TableTextSmaller"/>
            </w:pPr>
            <w:r>
              <w:t>OR</w:t>
            </w:r>
          </w:p>
        </w:tc>
        <w:tc>
          <w:tcPr>
            <w:tcW w:w="0" w:type="dxa"/>
            <w:noWrap/>
            <w:hideMark/>
          </w:tcPr>
          <w:p w14:paraId="4988EC78" w14:textId="77777777" w:rsidR="005534E1" w:rsidRDefault="005534E1" w:rsidP="00A3194F">
            <w:pPr>
              <w:pStyle w:val="TableTextSmaller"/>
            </w:pPr>
            <w:r>
              <w:t>41</w:t>
            </w:r>
          </w:p>
        </w:tc>
      </w:tr>
      <w:tr w:rsidR="005534E1" w14:paraId="31AF220C" w14:textId="77777777" w:rsidTr="00A3194F">
        <w:trPr>
          <w:trHeight w:val="315"/>
        </w:trPr>
        <w:tc>
          <w:tcPr>
            <w:tcW w:w="0" w:type="dxa"/>
            <w:noWrap/>
            <w:hideMark/>
          </w:tcPr>
          <w:p w14:paraId="7066F896" w14:textId="77777777" w:rsidR="005534E1" w:rsidRDefault="005534E1" w:rsidP="00A3194F">
            <w:pPr>
              <w:pStyle w:val="TableTextSmaller"/>
            </w:pPr>
            <w:r>
              <w:t>Pennsylvania</w:t>
            </w:r>
          </w:p>
        </w:tc>
        <w:tc>
          <w:tcPr>
            <w:tcW w:w="0" w:type="dxa"/>
            <w:noWrap/>
            <w:hideMark/>
          </w:tcPr>
          <w:p w14:paraId="395B92EC" w14:textId="77777777" w:rsidR="005534E1" w:rsidRDefault="005534E1" w:rsidP="00A3194F">
            <w:pPr>
              <w:pStyle w:val="TableTextSmaller"/>
            </w:pPr>
            <w:r>
              <w:t>PA</w:t>
            </w:r>
          </w:p>
        </w:tc>
        <w:tc>
          <w:tcPr>
            <w:tcW w:w="0" w:type="dxa"/>
            <w:noWrap/>
            <w:hideMark/>
          </w:tcPr>
          <w:p w14:paraId="0920281A" w14:textId="77777777" w:rsidR="005534E1" w:rsidRDefault="005534E1" w:rsidP="00A3194F">
            <w:pPr>
              <w:pStyle w:val="TableTextSmaller"/>
            </w:pPr>
            <w:r>
              <w:t>42</w:t>
            </w:r>
          </w:p>
        </w:tc>
      </w:tr>
      <w:tr w:rsidR="005534E1" w14:paraId="3D79C1E8" w14:textId="77777777" w:rsidTr="00A3194F">
        <w:trPr>
          <w:trHeight w:val="315"/>
        </w:trPr>
        <w:tc>
          <w:tcPr>
            <w:tcW w:w="0" w:type="dxa"/>
            <w:noWrap/>
            <w:hideMark/>
          </w:tcPr>
          <w:p w14:paraId="26B9ED78" w14:textId="77777777" w:rsidR="005534E1" w:rsidRDefault="005534E1" w:rsidP="00A3194F">
            <w:pPr>
              <w:pStyle w:val="TableTextSmaller"/>
            </w:pPr>
            <w:r>
              <w:t>Rhode Island</w:t>
            </w:r>
          </w:p>
        </w:tc>
        <w:tc>
          <w:tcPr>
            <w:tcW w:w="0" w:type="dxa"/>
            <w:noWrap/>
            <w:hideMark/>
          </w:tcPr>
          <w:p w14:paraId="45D7D688" w14:textId="77777777" w:rsidR="005534E1" w:rsidRDefault="005534E1" w:rsidP="00A3194F">
            <w:pPr>
              <w:pStyle w:val="TableTextSmaller"/>
            </w:pPr>
            <w:r>
              <w:t>RI</w:t>
            </w:r>
          </w:p>
        </w:tc>
        <w:tc>
          <w:tcPr>
            <w:tcW w:w="0" w:type="dxa"/>
            <w:noWrap/>
            <w:hideMark/>
          </w:tcPr>
          <w:p w14:paraId="044DF341" w14:textId="77777777" w:rsidR="005534E1" w:rsidRDefault="005534E1" w:rsidP="00A3194F">
            <w:pPr>
              <w:pStyle w:val="TableTextSmaller"/>
            </w:pPr>
            <w:r>
              <w:t>44</w:t>
            </w:r>
          </w:p>
        </w:tc>
      </w:tr>
      <w:tr w:rsidR="005534E1" w14:paraId="647326D1" w14:textId="77777777" w:rsidTr="00A3194F">
        <w:trPr>
          <w:trHeight w:val="315"/>
        </w:trPr>
        <w:tc>
          <w:tcPr>
            <w:tcW w:w="0" w:type="dxa"/>
            <w:noWrap/>
            <w:hideMark/>
          </w:tcPr>
          <w:p w14:paraId="0310AB17" w14:textId="77777777" w:rsidR="005534E1" w:rsidRDefault="005534E1" w:rsidP="00A3194F">
            <w:pPr>
              <w:pStyle w:val="TableTextSmaller"/>
            </w:pPr>
            <w:r>
              <w:t>South Carolina</w:t>
            </w:r>
          </w:p>
        </w:tc>
        <w:tc>
          <w:tcPr>
            <w:tcW w:w="0" w:type="dxa"/>
            <w:noWrap/>
            <w:hideMark/>
          </w:tcPr>
          <w:p w14:paraId="3180419C" w14:textId="77777777" w:rsidR="005534E1" w:rsidRDefault="005534E1" w:rsidP="00A3194F">
            <w:pPr>
              <w:pStyle w:val="TableTextSmaller"/>
            </w:pPr>
            <w:r>
              <w:t>SC</w:t>
            </w:r>
          </w:p>
        </w:tc>
        <w:tc>
          <w:tcPr>
            <w:tcW w:w="0" w:type="dxa"/>
            <w:noWrap/>
            <w:hideMark/>
          </w:tcPr>
          <w:p w14:paraId="2061D69E" w14:textId="77777777" w:rsidR="005534E1" w:rsidRDefault="005534E1" w:rsidP="00A3194F">
            <w:pPr>
              <w:pStyle w:val="TableTextSmaller"/>
            </w:pPr>
            <w:r>
              <w:t>45</w:t>
            </w:r>
          </w:p>
        </w:tc>
      </w:tr>
      <w:tr w:rsidR="005534E1" w14:paraId="7E55D0AF" w14:textId="77777777" w:rsidTr="00A3194F">
        <w:trPr>
          <w:trHeight w:val="315"/>
        </w:trPr>
        <w:tc>
          <w:tcPr>
            <w:tcW w:w="0" w:type="dxa"/>
            <w:noWrap/>
            <w:hideMark/>
          </w:tcPr>
          <w:p w14:paraId="30A4FB57" w14:textId="77777777" w:rsidR="005534E1" w:rsidRDefault="005534E1" w:rsidP="00A3194F">
            <w:pPr>
              <w:pStyle w:val="TableTextSmaller"/>
            </w:pPr>
            <w:r>
              <w:t>South Dakota</w:t>
            </w:r>
          </w:p>
        </w:tc>
        <w:tc>
          <w:tcPr>
            <w:tcW w:w="0" w:type="dxa"/>
            <w:noWrap/>
            <w:hideMark/>
          </w:tcPr>
          <w:p w14:paraId="444B0329" w14:textId="77777777" w:rsidR="005534E1" w:rsidRDefault="005534E1" w:rsidP="00A3194F">
            <w:pPr>
              <w:pStyle w:val="TableTextSmaller"/>
            </w:pPr>
            <w:r>
              <w:t>SD</w:t>
            </w:r>
          </w:p>
        </w:tc>
        <w:tc>
          <w:tcPr>
            <w:tcW w:w="0" w:type="dxa"/>
            <w:noWrap/>
            <w:hideMark/>
          </w:tcPr>
          <w:p w14:paraId="0CC50B79" w14:textId="77777777" w:rsidR="005534E1" w:rsidRDefault="005534E1" w:rsidP="00A3194F">
            <w:pPr>
              <w:pStyle w:val="TableTextSmaller"/>
            </w:pPr>
            <w:r>
              <w:t>46</w:t>
            </w:r>
          </w:p>
        </w:tc>
      </w:tr>
      <w:tr w:rsidR="005534E1" w14:paraId="2ED555DF" w14:textId="77777777" w:rsidTr="00A3194F">
        <w:trPr>
          <w:trHeight w:val="315"/>
        </w:trPr>
        <w:tc>
          <w:tcPr>
            <w:tcW w:w="0" w:type="dxa"/>
            <w:noWrap/>
            <w:hideMark/>
          </w:tcPr>
          <w:p w14:paraId="3D33BE76" w14:textId="77777777" w:rsidR="005534E1" w:rsidRDefault="005534E1" w:rsidP="00A3194F">
            <w:pPr>
              <w:pStyle w:val="TableTextSmaller"/>
            </w:pPr>
            <w:r>
              <w:t>Tennessee</w:t>
            </w:r>
          </w:p>
        </w:tc>
        <w:tc>
          <w:tcPr>
            <w:tcW w:w="0" w:type="dxa"/>
            <w:noWrap/>
            <w:hideMark/>
          </w:tcPr>
          <w:p w14:paraId="051E9C7F" w14:textId="77777777" w:rsidR="005534E1" w:rsidRDefault="005534E1" w:rsidP="00A3194F">
            <w:pPr>
              <w:pStyle w:val="TableTextSmaller"/>
            </w:pPr>
            <w:r>
              <w:t>TN</w:t>
            </w:r>
          </w:p>
        </w:tc>
        <w:tc>
          <w:tcPr>
            <w:tcW w:w="0" w:type="dxa"/>
            <w:noWrap/>
            <w:hideMark/>
          </w:tcPr>
          <w:p w14:paraId="02666FA2" w14:textId="77777777" w:rsidR="005534E1" w:rsidRDefault="005534E1" w:rsidP="00A3194F">
            <w:pPr>
              <w:pStyle w:val="TableTextSmaller"/>
            </w:pPr>
            <w:r>
              <w:t>47</w:t>
            </w:r>
          </w:p>
        </w:tc>
      </w:tr>
      <w:tr w:rsidR="005534E1" w14:paraId="152620C7" w14:textId="77777777" w:rsidTr="00A3194F">
        <w:trPr>
          <w:trHeight w:val="315"/>
        </w:trPr>
        <w:tc>
          <w:tcPr>
            <w:tcW w:w="0" w:type="dxa"/>
            <w:noWrap/>
            <w:hideMark/>
          </w:tcPr>
          <w:p w14:paraId="494C1272" w14:textId="77777777" w:rsidR="005534E1" w:rsidRDefault="005534E1" w:rsidP="00A3194F">
            <w:pPr>
              <w:pStyle w:val="TableTextSmaller"/>
            </w:pPr>
            <w:r>
              <w:t>Texas</w:t>
            </w:r>
          </w:p>
        </w:tc>
        <w:tc>
          <w:tcPr>
            <w:tcW w:w="0" w:type="dxa"/>
            <w:noWrap/>
            <w:hideMark/>
          </w:tcPr>
          <w:p w14:paraId="066C865F" w14:textId="77777777" w:rsidR="005534E1" w:rsidRDefault="005534E1" w:rsidP="00A3194F">
            <w:pPr>
              <w:pStyle w:val="TableTextSmaller"/>
            </w:pPr>
            <w:r>
              <w:t>TX</w:t>
            </w:r>
          </w:p>
        </w:tc>
        <w:tc>
          <w:tcPr>
            <w:tcW w:w="0" w:type="dxa"/>
            <w:noWrap/>
            <w:hideMark/>
          </w:tcPr>
          <w:p w14:paraId="0C6B8DA8" w14:textId="77777777" w:rsidR="005534E1" w:rsidRDefault="005534E1" w:rsidP="00A3194F">
            <w:pPr>
              <w:pStyle w:val="TableTextSmaller"/>
            </w:pPr>
            <w:r>
              <w:t>48</w:t>
            </w:r>
          </w:p>
        </w:tc>
      </w:tr>
      <w:tr w:rsidR="005534E1" w14:paraId="5CE9CA70" w14:textId="77777777" w:rsidTr="00A3194F">
        <w:trPr>
          <w:trHeight w:val="315"/>
        </w:trPr>
        <w:tc>
          <w:tcPr>
            <w:tcW w:w="0" w:type="dxa"/>
            <w:noWrap/>
            <w:hideMark/>
          </w:tcPr>
          <w:p w14:paraId="72C4355A" w14:textId="77777777" w:rsidR="005534E1" w:rsidRDefault="005534E1" w:rsidP="00A3194F">
            <w:pPr>
              <w:pStyle w:val="TableTextSmaller"/>
            </w:pPr>
            <w:r>
              <w:t>Utah</w:t>
            </w:r>
          </w:p>
        </w:tc>
        <w:tc>
          <w:tcPr>
            <w:tcW w:w="0" w:type="dxa"/>
            <w:noWrap/>
            <w:hideMark/>
          </w:tcPr>
          <w:p w14:paraId="6C3FAD56" w14:textId="77777777" w:rsidR="005534E1" w:rsidRDefault="005534E1" w:rsidP="00A3194F">
            <w:pPr>
              <w:pStyle w:val="TableTextSmaller"/>
            </w:pPr>
            <w:r>
              <w:t>UT</w:t>
            </w:r>
          </w:p>
        </w:tc>
        <w:tc>
          <w:tcPr>
            <w:tcW w:w="0" w:type="dxa"/>
            <w:noWrap/>
            <w:hideMark/>
          </w:tcPr>
          <w:p w14:paraId="61E9AEF5" w14:textId="77777777" w:rsidR="005534E1" w:rsidRDefault="005534E1" w:rsidP="00A3194F">
            <w:pPr>
              <w:pStyle w:val="TableTextSmaller"/>
            </w:pPr>
            <w:r>
              <w:t>49</w:t>
            </w:r>
          </w:p>
        </w:tc>
      </w:tr>
      <w:tr w:rsidR="005534E1" w14:paraId="4F58EEC1" w14:textId="77777777" w:rsidTr="00A3194F">
        <w:trPr>
          <w:trHeight w:val="315"/>
        </w:trPr>
        <w:tc>
          <w:tcPr>
            <w:tcW w:w="0" w:type="dxa"/>
            <w:noWrap/>
            <w:hideMark/>
          </w:tcPr>
          <w:p w14:paraId="100817F0" w14:textId="77777777" w:rsidR="005534E1" w:rsidRDefault="005534E1" w:rsidP="00A3194F">
            <w:pPr>
              <w:pStyle w:val="TableTextSmaller"/>
            </w:pPr>
            <w:r>
              <w:t>Vermont</w:t>
            </w:r>
          </w:p>
        </w:tc>
        <w:tc>
          <w:tcPr>
            <w:tcW w:w="0" w:type="dxa"/>
            <w:noWrap/>
            <w:hideMark/>
          </w:tcPr>
          <w:p w14:paraId="218AFF39" w14:textId="77777777" w:rsidR="005534E1" w:rsidRDefault="005534E1" w:rsidP="00A3194F">
            <w:pPr>
              <w:pStyle w:val="TableTextSmaller"/>
            </w:pPr>
            <w:r>
              <w:t>VT</w:t>
            </w:r>
          </w:p>
        </w:tc>
        <w:tc>
          <w:tcPr>
            <w:tcW w:w="0" w:type="dxa"/>
            <w:noWrap/>
            <w:hideMark/>
          </w:tcPr>
          <w:p w14:paraId="6C6DE78D" w14:textId="77777777" w:rsidR="005534E1" w:rsidRDefault="005534E1" w:rsidP="00A3194F">
            <w:pPr>
              <w:pStyle w:val="TableTextSmaller"/>
            </w:pPr>
            <w:r>
              <w:t>50</w:t>
            </w:r>
          </w:p>
        </w:tc>
      </w:tr>
      <w:tr w:rsidR="005534E1" w14:paraId="7AA678C3" w14:textId="77777777" w:rsidTr="00A3194F">
        <w:trPr>
          <w:trHeight w:val="315"/>
        </w:trPr>
        <w:tc>
          <w:tcPr>
            <w:tcW w:w="0" w:type="dxa"/>
            <w:noWrap/>
            <w:hideMark/>
          </w:tcPr>
          <w:p w14:paraId="21CC368F" w14:textId="77777777" w:rsidR="005534E1" w:rsidRDefault="005534E1" w:rsidP="00A3194F">
            <w:pPr>
              <w:pStyle w:val="TableTextSmaller"/>
            </w:pPr>
            <w:r>
              <w:t>Virginia</w:t>
            </w:r>
          </w:p>
        </w:tc>
        <w:tc>
          <w:tcPr>
            <w:tcW w:w="0" w:type="dxa"/>
            <w:noWrap/>
            <w:hideMark/>
          </w:tcPr>
          <w:p w14:paraId="3255DAA0" w14:textId="77777777" w:rsidR="005534E1" w:rsidRDefault="005534E1" w:rsidP="00A3194F">
            <w:pPr>
              <w:pStyle w:val="TableTextSmaller"/>
            </w:pPr>
            <w:r>
              <w:t>VA</w:t>
            </w:r>
          </w:p>
        </w:tc>
        <w:tc>
          <w:tcPr>
            <w:tcW w:w="0" w:type="dxa"/>
            <w:noWrap/>
            <w:hideMark/>
          </w:tcPr>
          <w:p w14:paraId="22B0FB54" w14:textId="77777777" w:rsidR="005534E1" w:rsidRDefault="005534E1" w:rsidP="00A3194F">
            <w:pPr>
              <w:pStyle w:val="TableTextSmaller"/>
            </w:pPr>
            <w:r>
              <w:t>51</w:t>
            </w:r>
          </w:p>
        </w:tc>
      </w:tr>
      <w:tr w:rsidR="005534E1" w14:paraId="060F2C01" w14:textId="77777777" w:rsidTr="00A3194F">
        <w:trPr>
          <w:trHeight w:val="315"/>
        </w:trPr>
        <w:tc>
          <w:tcPr>
            <w:tcW w:w="0" w:type="dxa"/>
            <w:noWrap/>
            <w:hideMark/>
          </w:tcPr>
          <w:p w14:paraId="5F73DA55" w14:textId="77777777" w:rsidR="005534E1" w:rsidRDefault="005534E1" w:rsidP="00A3194F">
            <w:pPr>
              <w:pStyle w:val="TableTextSmaller"/>
            </w:pPr>
            <w:r>
              <w:t>Washington</w:t>
            </w:r>
          </w:p>
        </w:tc>
        <w:tc>
          <w:tcPr>
            <w:tcW w:w="0" w:type="dxa"/>
            <w:noWrap/>
            <w:hideMark/>
          </w:tcPr>
          <w:p w14:paraId="7A8BD4B4" w14:textId="77777777" w:rsidR="005534E1" w:rsidRDefault="005534E1" w:rsidP="00A3194F">
            <w:pPr>
              <w:pStyle w:val="TableTextSmaller"/>
            </w:pPr>
            <w:r>
              <w:t>WA</w:t>
            </w:r>
          </w:p>
        </w:tc>
        <w:tc>
          <w:tcPr>
            <w:tcW w:w="0" w:type="dxa"/>
            <w:noWrap/>
            <w:hideMark/>
          </w:tcPr>
          <w:p w14:paraId="616BF7D2" w14:textId="77777777" w:rsidR="005534E1" w:rsidRDefault="005534E1" w:rsidP="00A3194F">
            <w:pPr>
              <w:pStyle w:val="TableTextSmaller"/>
            </w:pPr>
            <w:r>
              <w:t>53</w:t>
            </w:r>
          </w:p>
        </w:tc>
      </w:tr>
      <w:tr w:rsidR="005534E1" w14:paraId="1860E9AB" w14:textId="77777777" w:rsidTr="00A3194F">
        <w:trPr>
          <w:trHeight w:val="315"/>
        </w:trPr>
        <w:tc>
          <w:tcPr>
            <w:tcW w:w="0" w:type="dxa"/>
            <w:noWrap/>
            <w:hideMark/>
          </w:tcPr>
          <w:p w14:paraId="0F17C762" w14:textId="77777777" w:rsidR="005534E1" w:rsidRDefault="005534E1" w:rsidP="00A3194F">
            <w:pPr>
              <w:pStyle w:val="TableTextSmaller"/>
            </w:pPr>
            <w:r>
              <w:t>West Virginia</w:t>
            </w:r>
          </w:p>
        </w:tc>
        <w:tc>
          <w:tcPr>
            <w:tcW w:w="0" w:type="dxa"/>
            <w:noWrap/>
            <w:hideMark/>
          </w:tcPr>
          <w:p w14:paraId="1E48A3BD" w14:textId="77777777" w:rsidR="005534E1" w:rsidRDefault="005534E1" w:rsidP="00A3194F">
            <w:pPr>
              <w:pStyle w:val="TableTextSmaller"/>
            </w:pPr>
            <w:r>
              <w:t>WV</w:t>
            </w:r>
          </w:p>
        </w:tc>
        <w:tc>
          <w:tcPr>
            <w:tcW w:w="0" w:type="dxa"/>
            <w:noWrap/>
            <w:hideMark/>
          </w:tcPr>
          <w:p w14:paraId="63BE58C8" w14:textId="77777777" w:rsidR="005534E1" w:rsidRDefault="005534E1" w:rsidP="00A3194F">
            <w:pPr>
              <w:pStyle w:val="TableTextSmaller"/>
            </w:pPr>
            <w:r>
              <w:t>54</w:t>
            </w:r>
          </w:p>
        </w:tc>
      </w:tr>
      <w:tr w:rsidR="005534E1" w14:paraId="3590B2E2" w14:textId="77777777" w:rsidTr="00A3194F">
        <w:trPr>
          <w:trHeight w:val="315"/>
        </w:trPr>
        <w:tc>
          <w:tcPr>
            <w:tcW w:w="0" w:type="dxa"/>
            <w:noWrap/>
            <w:hideMark/>
          </w:tcPr>
          <w:p w14:paraId="58F10602" w14:textId="77777777" w:rsidR="005534E1" w:rsidRDefault="005534E1" w:rsidP="00A3194F">
            <w:pPr>
              <w:pStyle w:val="TableTextSmaller"/>
            </w:pPr>
            <w:r>
              <w:t>Wisconsin</w:t>
            </w:r>
          </w:p>
        </w:tc>
        <w:tc>
          <w:tcPr>
            <w:tcW w:w="0" w:type="dxa"/>
            <w:noWrap/>
            <w:hideMark/>
          </w:tcPr>
          <w:p w14:paraId="3180601B" w14:textId="77777777" w:rsidR="005534E1" w:rsidRDefault="005534E1" w:rsidP="00A3194F">
            <w:pPr>
              <w:pStyle w:val="TableTextSmaller"/>
            </w:pPr>
            <w:r>
              <w:t>WI</w:t>
            </w:r>
          </w:p>
        </w:tc>
        <w:tc>
          <w:tcPr>
            <w:tcW w:w="0" w:type="dxa"/>
            <w:noWrap/>
            <w:hideMark/>
          </w:tcPr>
          <w:p w14:paraId="24F3BC6F" w14:textId="77777777" w:rsidR="005534E1" w:rsidRDefault="005534E1" w:rsidP="00A3194F">
            <w:pPr>
              <w:pStyle w:val="TableTextSmaller"/>
            </w:pPr>
            <w:r>
              <w:t>55</w:t>
            </w:r>
          </w:p>
        </w:tc>
      </w:tr>
      <w:tr w:rsidR="005534E1" w14:paraId="4BE1B231" w14:textId="77777777" w:rsidTr="00A3194F">
        <w:trPr>
          <w:trHeight w:val="315"/>
        </w:trPr>
        <w:tc>
          <w:tcPr>
            <w:tcW w:w="0" w:type="dxa"/>
            <w:noWrap/>
            <w:hideMark/>
          </w:tcPr>
          <w:p w14:paraId="0B2B69A9" w14:textId="77777777" w:rsidR="005534E1" w:rsidRDefault="005534E1" w:rsidP="00A3194F">
            <w:pPr>
              <w:pStyle w:val="TableTextSmaller"/>
            </w:pPr>
            <w:r>
              <w:t>Wyoming</w:t>
            </w:r>
          </w:p>
        </w:tc>
        <w:tc>
          <w:tcPr>
            <w:tcW w:w="0" w:type="dxa"/>
            <w:noWrap/>
            <w:hideMark/>
          </w:tcPr>
          <w:p w14:paraId="1B813EE8" w14:textId="77777777" w:rsidR="005534E1" w:rsidRDefault="005534E1" w:rsidP="00A3194F">
            <w:pPr>
              <w:pStyle w:val="TableTextSmaller"/>
            </w:pPr>
            <w:r>
              <w:t>WY</w:t>
            </w:r>
          </w:p>
        </w:tc>
        <w:tc>
          <w:tcPr>
            <w:tcW w:w="0" w:type="dxa"/>
            <w:noWrap/>
            <w:hideMark/>
          </w:tcPr>
          <w:p w14:paraId="4856FAD6" w14:textId="77777777" w:rsidR="005534E1" w:rsidRDefault="005534E1" w:rsidP="00A3194F">
            <w:pPr>
              <w:pStyle w:val="TableTextSmaller"/>
            </w:pPr>
            <w:r>
              <w:t>56</w:t>
            </w:r>
          </w:p>
        </w:tc>
      </w:tr>
    </w:tbl>
    <w:p w14:paraId="7631B8B0" w14:textId="77777777" w:rsidR="008B5283" w:rsidRDefault="008B5283">
      <w:pPr>
        <w:rPr>
          <w:rFonts w:ascii="Arial Narrow" w:hAnsi="Arial Narrow"/>
          <w:b/>
          <w:sz w:val="36"/>
          <w:szCs w:val="20"/>
        </w:rPr>
      </w:pPr>
      <w:r>
        <w:br w:type="page"/>
      </w:r>
    </w:p>
    <w:p w14:paraId="6C872841" w14:textId="77777777" w:rsidR="00DE664B" w:rsidRDefault="00DE664B" w:rsidP="009D3F3A">
      <w:pPr>
        <w:pStyle w:val="BackMatterHeading"/>
        <w:spacing w:after="0"/>
      </w:pPr>
      <w:bookmarkStart w:id="115" w:name="_Toc46395264"/>
      <w:r>
        <w:lastRenderedPageBreak/>
        <w:t>References</w:t>
      </w:r>
      <w:bookmarkEnd w:id="115"/>
    </w:p>
    <w:p w14:paraId="18202A3F" w14:textId="191D38B7" w:rsidR="00117C13" w:rsidRDefault="00117C13" w:rsidP="00D71F8F">
      <w:pPr>
        <w:pStyle w:val="Reference"/>
        <w:ind w:right="-180"/>
      </w:pPr>
      <w:r w:rsidRPr="00A435B2">
        <w:t xml:space="preserve">Flood, T.L., Zhao, Y.-Q., Tomayko, E.J., Tandias, A., Carrel, A.L., &amp; Hanrahan, L.P. (2015). Electronic health records and community health surveillance of childhood obesity. </w:t>
      </w:r>
      <w:r w:rsidRPr="00B57CF6">
        <w:rPr>
          <w:i/>
        </w:rPr>
        <w:t xml:space="preserve">American </w:t>
      </w:r>
      <w:r w:rsidR="00D71F8F" w:rsidRPr="00B57CF6">
        <w:rPr>
          <w:i/>
        </w:rPr>
        <w:t xml:space="preserve">Journal </w:t>
      </w:r>
      <w:r w:rsidRPr="00B57CF6">
        <w:rPr>
          <w:i/>
        </w:rPr>
        <w:t xml:space="preserve">of </w:t>
      </w:r>
      <w:r w:rsidR="00D71F8F" w:rsidRPr="00B57CF6">
        <w:rPr>
          <w:i/>
        </w:rPr>
        <w:t>Preventive Medicine</w:t>
      </w:r>
      <w:r w:rsidRPr="00A435B2">
        <w:t>, 48(2), 234-240. doi:10.1016/j.amepre.2014.10.020</w:t>
      </w:r>
    </w:p>
    <w:p w14:paraId="25016444" w14:textId="13D7369D" w:rsidR="00117C13" w:rsidRDefault="00117C13" w:rsidP="00D71F8F">
      <w:pPr>
        <w:pStyle w:val="Reference"/>
        <w:ind w:right="-180"/>
      </w:pPr>
      <w:r w:rsidRPr="00A435B2">
        <w:t xml:space="preserve">Bower, J.K., Patel, S., Rudy, J.E., &amp; Felix, A.S. (2017). Addressing </w:t>
      </w:r>
      <w:r w:rsidR="00164F87">
        <w:t>b</w:t>
      </w:r>
      <w:r w:rsidRPr="00A435B2">
        <w:t xml:space="preserve">ias in </w:t>
      </w:r>
      <w:r w:rsidR="002D23AA" w:rsidRPr="00A435B2">
        <w:t>electronic health record-based surveillance of cardiovascular disease risk</w:t>
      </w:r>
      <w:r w:rsidRPr="00A435B2">
        <w:t xml:space="preserve">: Finding the </w:t>
      </w:r>
      <w:r w:rsidR="002D23AA" w:rsidRPr="00A435B2">
        <w:t>signal through the noise</w:t>
      </w:r>
      <w:r w:rsidRPr="00A435B2">
        <w:t xml:space="preserve">. </w:t>
      </w:r>
      <w:r w:rsidRPr="00B57CF6">
        <w:rPr>
          <w:i/>
        </w:rPr>
        <w:t xml:space="preserve">Current </w:t>
      </w:r>
      <w:r w:rsidR="002D23AA" w:rsidRPr="00B57CF6">
        <w:rPr>
          <w:i/>
        </w:rPr>
        <w:t>Epidemiology Reports</w:t>
      </w:r>
      <w:r w:rsidRPr="00A435B2">
        <w:t>, 4(4), 346-352. doi:10.1007/s40471-017-0130-z</w:t>
      </w:r>
      <w:r w:rsidR="002D23AA">
        <w:t>.</w:t>
      </w:r>
    </w:p>
    <w:p w14:paraId="1A49F867" w14:textId="78E30010" w:rsidR="00824883" w:rsidRDefault="00824883" w:rsidP="00824883">
      <w:pPr>
        <w:pStyle w:val="Reference"/>
      </w:pPr>
      <w:r w:rsidRPr="006C1FA8">
        <w:t xml:space="preserve">Goldstein, B. A., Bhavsar, N. A., Phelan, M., &amp; Pencina, M. J. (2016). Controlling for Informed Presence Bias Due to the Number of Health Encounters in an Electronic Health Record. </w:t>
      </w:r>
      <w:r w:rsidRPr="006C1FA8">
        <w:rPr>
          <w:i/>
        </w:rPr>
        <w:t>American journal of epidemiology, 184</w:t>
      </w:r>
      <w:r w:rsidRPr="006C1FA8">
        <w:t>(11), 847-855. doi:10.1093/aje/kww112</w:t>
      </w:r>
    </w:p>
    <w:p w14:paraId="37866DBC" w14:textId="05AFDEC0" w:rsidR="00824883" w:rsidRDefault="00824883" w:rsidP="00824883">
      <w:pPr>
        <w:pStyle w:val="Reference"/>
      </w:pPr>
      <w:r w:rsidRPr="006C1FA8">
        <w:t xml:space="preserve">Christopher, A. S., McCormick, D., Woolhandler, S., Himmelstein, D. U., Bor, D. H., &amp; Wilper, A. P. (2016). Access to Care and Chronic Disease Outcomes Among Medicaid-Insured Persons Versus the Uninsured. </w:t>
      </w:r>
      <w:r w:rsidRPr="006C1FA8">
        <w:rPr>
          <w:i/>
        </w:rPr>
        <w:t>American journal of public health, 106</w:t>
      </w:r>
      <w:r w:rsidRPr="006C1FA8">
        <w:t>(1), 63-69.</w:t>
      </w:r>
      <w:r>
        <w:t xml:space="preserve"> </w:t>
      </w:r>
    </w:p>
    <w:p w14:paraId="32AFD322" w14:textId="77777777" w:rsidR="00824883" w:rsidRPr="006C1FA8" w:rsidRDefault="00824883" w:rsidP="00824883">
      <w:pPr>
        <w:pStyle w:val="Reference"/>
      </w:pPr>
      <w:r w:rsidRPr="006C1FA8">
        <w:t xml:space="preserve">Romo, M. L., Chan, P. Y., Lurie-Moroni, E., Perlman, S. E., Newton-Dame, R., Thorpe, L. E., &amp; McVeigh, K. H. (2016). Characterizing Adults Receiving Primary Medical Care in New York City: Implications for Using Electronic Health Records for Chronic Disease Surveillance. </w:t>
      </w:r>
      <w:r w:rsidRPr="006C1FA8">
        <w:rPr>
          <w:i/>
        </w:rPr>
        <w:t>Preventing chronic disease, 13</w:t>
      </w:r>
      <w:r w:rsidRPr="006C1FA8">
        <w:t>, E56-E56. doi:10.5888/pcd13.150500</w:t>
      </w:r>
    </w:p>
    <w:p w14:paraId="41705314" w14:textId="4256EE9D" w:rsidR="00117C13" w:rsidRDefault="00117C13" w:rsidP="00D71F8F">
      <w:pPr>
        <w:pStyle w:val="Reference"/>
        <w:ind w:right="-180"/>
      </w:pPr>
      <w:r w:rsidRPr="00A435B2">
        <w:t>Best</w:t>
      </w:r>
      <w:r w:rsidR="002D23AA">
        <w:t>,</w:t>
      </w:r>
      <w:r w:rsidRPr="00A435B2">
        <w:t xml:space="preserve"> C</w:t>
      </w:r>
      <w:r w:rsidR="002D23AA">
        <w:t>.</w:t>
      </w:r>
      <w:r w:rsidRPr="00A435B2">
        <w:t xml:space="preserve">, </w:t>
      </w:r>
      <w:r w:rsidR="002D23AA">
        <w:t xml:space="preserve">&amp; </w:t>
      </w:r>
      <w:r w:rsidRPr="00A435B2">
        <w:t>Shepherd</w:t>
      </w:r>
      <w:r w:rsidR="002D23AA">
        <w:t>,</w:t>
      </w:r>
      <w:r w:rsidRPr="00A435B2">
        <w:t xml:space="preserve"> E</w:t>
      </w:r>
      <w:r w:rsidR="002D23AA">
        <w:t>.</w:t>
      </w:r>
      <w:r w:rsidRPr="00A435B2">
        <w:t xml:space="preserve"> (2020)</w:t>
      </w:r>
      <w:r w:rsidR="00EE6301">
        <w:t>.</w:t>
      </w:r>
      <w:r w:rsidRPr="00A435B2">
        <w:t xml:space="preserve"> Accurate measurement of weight and height 2: </w:t>
      </w:r>
      <w:r w:rsidR="002D23AA">
        <w:t>C</w:t>
      </w:r>
      <w:r w:rsidRPr="00A435B2">
        <w:t xml:space="preserve">alculating height and BMI. </w:t>
      </w:r>
      <w:r w:rsidRPr="00B57CF6">
        <w:rPr>
          <w:i/>
        </w:rPr>
        <w:t>Nursing Times</w:t>
      </w:r>
      <w:r w:rsidRPr="00A435B2">
        <w:t xml:space="preserve"> [online]; 116: 5, 42-44.</w:t>
      </w:r>
    </w:p>
    <w:p w14:paraId="0D2FFFF5" w14:textId="68A3B3AE" w:rsidR="00117C13" w:rsidRDefault="00117C13" w:rsidP="00D71F8F">
      <w:pPr>
        <w:pStyle w:val="Reference"/>
        <w:ind w:right="-180"/>
      </w:pPr>
      <w:r>
        <w:t>Daymont, C., Ross, M</w:t>
      </w:r>
      <w:r w:rsidR="002D23AA">
        <w:t>.</w:t>
      </w:r>
      <w:r>
        <w:t>E</w:t>
      </w:r>
      <w:r w:rsidR="002D23AA">
        <w:t>.,</w:t>
      </w:r>
      <w:r>
        <w:t xml:space="preserve"> Localio, </w:t>
      </w:r>
      <w:r w:rsidRPr="00117C13">
        <w:t>A</w:t>
      </w:r>
      <w:r w:rsidR="002D23AA">
        <w:t>.</w:t>
      </w:r>
      <w:r>
        <w:t>R</w:t>
      </w:r>
      <w:r w:rsidR="002D23AA">
        <w:t>.</w:t>
      </w:r>
      <w:r>
        <w:t>, Fiks, A</w:t>
      </w:r>
      <w:r w:rsidR="002D23AA">
        <w:t>.</w:t>
      </w:r>
      <w:r>
        <w:t>G</w:t>
      </w:r>
      <w:r w:rsidR="002D23AA">
        <w:t>.</w:t>
      </w:r>
      <w:r>
        <w:t>, Wasserman, R</w:t>
      </w:r>
      <w:r w:rsidR="002D23AA">
        <w:t>.</w:t>
      </w:r>
      <w:r>
        <w:t>C</w:t>
      </w:r>
      <w:r w:rsidR="002D23AA">
        <w:t>.,</w:t>
      </w:r>
      <w:r>
        <w:t xml:space="preserve"> </w:t>
      </w:r>
      <w:r w:rsidR="00164F87">
        <w:t xml:space="preserve">&amp; </w:t>
      </w:r>
      <w:r>
        <w:t>Grundmeier, R</w:t>
      </w:r>
      <w:r w:rsidR="00EE6301">
        <w:t>.</w:t>
      </w:r>
      <w:r>
        <w:t>W</w:t>
      </w:r>
      <w:r w:rsidR="00EE6301">
        <w:t>.</w:t>
      </w:r>
      <w:r>
        <w:t xml:space="preserve"> (2017)</w:t>
      </w:r>
      <w:r w:rsidR="00EE6301">
        <w:t>.</w:t>
      </w:r>
      <w:r>
        <w:t xml:space="preserve"> Automated identification of implausible values in growth data from pediatric electronic health records, </w:t>
      </w:r>
      <w:r w:rsidRPr="00A3194F">
        <w:rPr>
          <w:i/>
        </w:rPr>
        <w:t>Journal of the American Medical Informatics Association</w:t>
      </w:r>
      <w:r>
        <w:t xml:space="preserve">, 24(6) 1080–1087, </w:t>
      </w:r>
      <w:hyperlink r:id="rId21" w:history="1">
        <w:r w:rsidRPr="00E26217">
          <w:rPr>
            <w:rStyle w:val="Hyperlink"/>
          </w:rPr>
          <w:t>https://doi.org/10.1093/jamia/ocx037</w:t>
        </w:r>
      </w:hyperlink>
    </w:p>
    <w:p w14:paraId="057B1DBE" w14:textId="53738156" w:rsidR="00117C13" w:rsidRDefault="00117C13" w:rsidP="00D71F8F">
      <w:pPr>
        <w:pStyle w:val="Reference"/>
        <w:ind w:right="-180"/>
      </w:pPr>
      <w:r>
        <w:t>Anderson</w:t>
      </w:r>
      <w:r w:rsidR="00EE6301">
        <w:t>,</w:t>
      </w:r>
      <w:r>
        <w:t xml:space="preserve"> R</w:t>
      </w:r>
      <w:r w:rsidR="00EE6301">
        <w:t>.</w:t>
      </w:r>
      <w:r>
        <w:t>N</w:t>
      </w:r>
      <w:r w:rsidR="00EE6301">
        <w:t>.</w:t>
      </w:r>
      <w:r>
        <w:t>,</w:t>
      </w:r>
      <w:r w:rsidR="00EE6301">
        <w:t xml:space="preserve"> &amp;</w:t>
      </w:r>
      <w:r>
        <w:t xml:space="preserve"> Rosenberg</w:t>
      </w:r>
      <w:r w:rsidR="00EE6301">
        <w:t>,</w:t>
      </w:r>
      <w:r>
        <w:t xml:space="preserve"> H</w:t>
      </w:r>
      <w:r w:rsidR="00EE6301">
        <w:t>.</w:t>
      </w:r>
      <w:r>
        <w:t xml:space="preserve">M. </w:t>
      </w:r>
      <w:r w:rsidR="00EE6301">
        <w:t xml:space="preserve">(1998). </w:t>
      </w:r>
      <w:r>
        <w:t xml:space="preserve">Report of the second workshop on age adjustment. National Center for Health Statistics. </w:t>
      </w:r>
      <w:r w:rsidRPr="001C5159">
        <w:rPr>
          <w:i/>
          <w:iCs/>
        </w:rPr>
        <w:t>Vital Health Stat</w:t>
      </w:r>
      <w:r>
        <w:t xml:space="preserve"> 4(30). </w:t>
      </w:r>
      <w:r w:rsidDel="00393CFB">
        <w:t xml:space="preserve"> </w:t>
      </w:r>
    </w:p>
    <w:p w14:paraId="5F30BD4A" w14:textId="675AD9BF" w:rsidR="00117C13" w:rsidRDefault="00117C13" w:rsidP="00D71F8F">
      <w:pPr>
        <w:pStyle w:val="Reference"/>
        <w:ind w:right="-180"/>
      </w:pPr>
      <w:r w:rsidRPr="00A435B2">
        <w:t>Little, R. (1993). Post-</w:t>
      </w:r>
      <w:r w:rsidR="00EE6301">
        <w:t>s</w:t>
      </w:r>
      <w:r w:rsidRPr="00A435B2">
        <w:t xml:space="preserve">tratification: A </w:t>
      </w:r>
      <w:r w:rsidR="00EE6301">
        <w:t>m</w:t>
      </w:r>
      <w:r w:rsidRPr="00A435B2">
        <w:t>odeler</w:t>
      </w:r>
      <w:r w:rsidR="000D13FC">
        <w:t>’</w:t>
      </w:r>
      <w:r w:rsidRPr="00A435B2">
        <w:t xml:space="preserve">s </w:t>
      </w:r>
      <w:r w:rsidR="00EE6301">
        <w:t>p</w:t>
      </w:r>
      <w:r w:rsidRPr="00A435B2">
        <w:t xml:space="preserve">erspective. </w:t>
      </w:r>
      <w:r w:rsidRPr="00B57CF6">
        <w:rPr>
          <w:i/>
        </w:rPr>
        <w:t>Journal of the American Statistical Association</w:t>
      </w:r>
      <w:r w:rsidRPr="00A435B2">
        <w:t>, 88(423), 1001-1012. doi:10.2307/2290792</w:t>
      </w:r>
    </w:p>
    <w:p w14:paraId="38909F85" w14:textId="77777777" w:rsidR="007D5F24" w:rsidRDefault="007D5F24" w:rsidP="007D5F24">
      <w:pPr>
        <w:pStyle w:val="Reference"/>
      </w:pPr>
      <w:r w:rsidRPr="007D5F24">
        <w:t xml:space="preserve">Klein, R. J., &amp; Schoenborn, C. A. (2001). Age adjustment using the 2000 projected U.S. population. </w:t>
      </w:r>
      <w:r w:rsidRPr="007D5F24">
        <w:rPr>
          <w:i/>
        </w:rPr>
        <w:t>Healthy People 2000 statistical notes</w:t>
      </w:r>
      <w:r w:rsidRPr="007D5F24">
        <w:t xml:space="preserve">, (20), 1–9. </w:t>
      </w:r>
    </w:p>
    <w:p w14:paraId="6BDAB3B8" w14:textId="23605EC9" w:rsidR="00117C13" w:rsidRDefault="00117C13" w:rsidP="007D5F24">
      <w:pPr>
        <w:pStyle w:val="Reference"/>
      </w:pPr>
      <w:r>
        <w:t>Parker</w:t>
      </w:r>
      <w:r w:rsidR="008F0924">
        <w:t>,</w:t>
      </w:r>
      <w:r>
        <w:t xml:space="preserve"> J</w:t>
      </w:r>
      <w:r w:rsidR="008F0924">
        <w:t>.</w:t>
      </w:r>
      <w:r>
        <w:t>D</w:t>
      </w:r>
      <w:r w:rsidR="008F0924">
        <w:t>.</w:t>
      </w:r>
      <w:r>
        <w:t>, Talih</w:t>
      </w:r>
      <w:r w:rsidR="008F0924">
        <w:t>,</w:t>
      </w:r>
      <w:r>
        <w:t xml:space="preserve"> M</w:t>
      </w:r>
      <w:r w:rsidR="008F0924">
        <w:t>.</w:t>
      </w:r>
      <w:r>
        <w:t>, Malec</w:t>
      </w:r>
      <w:r w:rsidR="008F0924">
        <w:t>,</w:t>
      </w:r>
      <w:r>
        <w:t xml:space="preserve"> D</w:t>
      </w:r>
      <w:r w:rsidR="008F0924">
        <w:t>.</w:t>
      </w:r>
      <w:r>
        <w:t>J</w:t>
      </w:r>
      <w:r w:rsidR="008F0924">
        <w:t>.</w:t>
      </w:r>
      <w:r>
        <w:t>, et al.</w:t>
      </w:r>
      <w:r w:rsidR="008F0924">
        <w:t xml:space="preserve"> (2017)</w:t>
      </w:r>
      <w:r>
        <w:t xml:space="preserve"> National Center for Health Statistics </w:t>
      </w:r>
      <w:r w:rsidR="008F0924">
        <w:t>data presentation standards for propo</w:t>
      </w:r>
      <w:r>
        <w:t xml:space="preserve">rtions. National Center for Health Statistics. </w:t>
      </w:r>
      <w:r w:rsidRPr="001C5159">
        <w:rPr>
          <w:i/>
          <w:iCs/>
        </w:rPr>
        <w:t>Vital Health Stat</w:t>
      </w:r>
      <w:r>
        <w:t xml:space="preserve"> 2(175).</w:t>
      </w:r>
    </w:p>
    <w:p w14:paraId="642C9CF2" w14:textId="6842343F" w:rsidR="00705642" w:rsidRDefault="00117C13" w:rsidP="00D71F8F">
      <w:pPr>
        <w:pStyle w:val="Reference"/>
        <w:ind w:right="-180"/>
      </w:pPr>
      <w:r>
        <w:t>Wolter, K</w:t>
      </w:r>
      <w:r w:rsidR="008F0924">
        <w:t>.</w:t>
      </w:r>
      <w:r>
        <w:t>M.</w:t>
      </w:r>
      <w:r w:rsidRPr="00C043CF">
        <w:t xml:space="preserve"> (</w:t>
      </w:r>
      <w:r>
        <w:t>2007</w:t>
      </w:r>
      <w:r w:rsidRPr="00C043CF">
        <w:t xml:space="preserve">). </w:t>
      </w:r>
      <w:r w:rsidRPr="001C5159">
        <w:rPr>
          <w:i/>
          <w:iCs/>
        </w:rPr>
        <w:t>Introduction to Variance Estimation</w:t>
      </w:r>
      <w:r>
        <w:t>. Springer</w:t>
      </w:r>
      <w:r w:rsidRPr="00C043CF">
        <w:t>.</w:t>
      </w:r>
      <w:r w:rsidRPr="006B2583" w:rsidDel="00117C13">
        <w:t xml:space="preserve"> </w:t>
      </w:r>
      <w:r w:rsidR="00705642">
        <w:br w:type="page"/>
      </w:r>
    </w:p>
    <w:p w14:paraId="52A0A724" w14:textId="77777777" w:rsidR="00FD5DB0" w:rsidRDefault="00FD5DB0" w:rsidP="009D3F3A">
      <w:pPr>
        <w:pStyle w:val="BackMatterHeading"/>
        <w:spacing w:after="0"/>
      </w:pPr>
      <w:bookmarkStart w:id="116" w:name="_Toc46395265"/>
      <w:bookmarkEnd w:id="92"/>
      <w:r>
        <w:lastRenderedPageBreak/>
        <w:t>NOTICE</w:t>
      </w:r>
      <w:bookmarkEnd w:id="116"/>
    </w:p>
    <w:p w14:paraId="7838F4A1" w14:textId="77777777" w:rsidR="00FD5DB0" w:rsidRDefault="00FD5DB0" w:rsidP="009D3F3A">
      <w:r>
        <w:t xml:space="preserve">This </w:t>
      </w:r>
      <w:r w:rsidR="009A6ED2">
        <w:t xml:space="preserve">document </w:t>
      </w:r>
      <w:r>
        <w:t xml:space="preserve">was produced for the U. S. Government under Contract Number </w:t>
      </w:r>
      <w:r w:rsidR="009A6ED2" w:rsidRPr="009A6ED2">
        <w:t>HHSM-5000-2012-00008I</w:t>
      </w:r>
      <w:r>
        <w:t>, and is subject to Federal Acquisition Regulation Clause 52.227-14, Rights in Data-General.</w:t>
      </w:r>
      <w:r w:rsidR="00AA3A3D">
        <w:t xml:space="preserve"> </w:t>
      </w:r>
    </w:p>
    <w:p w14:paraId="75E0DBD3" w14:textId="77777777" w:rsidR="00FD5DB0" w:rsidRDefault="00FD5DB0" w:rsidP="009D3F3A">
      <w:r>
        <w:t xml:space="preserve">No other use other than that granted to the U. S. Government, or to those acting on behalf of the U. S. Government under that Clause is authorized without the express written permission of The MITRE Corporation. </w:t>
      </w:r>
    </w:p>
    <w:p w14:paraId="09E78C37" w14:textId="77777777" w:rsidR="00FD5DB0" w:rsidRDefault="00FD5DB0" w:rsidP="009D3F3A">
      <w:r>
        <w:t>For further information, please contact The MITRE Corporation, Contracts Management Office, 7515 Colshire Drive, McLean, VA</w:t>
      </w:r>
      <w:r w:rsidR="00AA3A3D">
        <w:t xml:space="preserve"> </w:t>
      </w:r>
      <w:r>
        <w:t>22102-7539, (703) 983-6000.</w:t>
      </w:r>
      <w:r w:rsidR="00AA3A3D">
        <w:t xml:space="preserve"> </w:t>
      </w:r>
    </w:p>
    <w:p w14:paraId="39BFFDA7" w14:textId="77777777" w:rsidR="007528E5" w:rsidRDefault="00FD5DB0" w:rsidP="009D3F3A">
      <w:r>
        <w:t>© 20</w:t>
      </w:r>
      <w:r w:rsidR="003168AA">
        <w:t>20</w:t>
      </w:r>
      <w:r>
        <w:t xml:space="preserve"> The MITRE Corporation.</w:t>
      </w:r>
    </w:p>
    <w:p w14:paraId="1098EB0D" w14:textId="73A5E2BE" w:rsidR="005D10C6" w:rsidRDefault="005D10C6" w:rsidP="009D3F3A"/>
    <w:sectPr w:rsidR="005D10C6" w:rsidSect="00050CB1">
      <w:headerReference w:type="even" r:id="rId22"/>
      <w:pgSz w:w="12240" w:h="15840" w:code="1"/>
      <w:pgMar w:top="1440" w:right="1440" w:bottom="1440" w:left="1440" w:header="504" w:footer="504"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81DD" w16cex:dateUtc="2020-07-22T13:14:00Z"/>
  <w16cex:commentExtensible w16cex:durableId="22C2AC19" w16cex:dateUtc="2020-07-22T16:14:00Z"/>
  <w16cex:commentExtensible w16cex:durableId="22C2ADB3" w16cex:dateUtc="2020-07-22T16:21:00Z"/>
  <w16cex:commentExtensible w16cex:durableId="22C2AE92" w16cex:dateUtc="2020-07-22T16:24:00Z"/>
  <w16cex:commentExtensible w16cex:durableId="22C2A7BE" w16cex:dateUtc="2020-07-22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830AC7" w16cid:durableId="22C281DD"/>
  <w16cid:commentId w16cid:paraId="58285896" w16cid:durableId="22C2AC19"/>
  <w16cid:commentId w16cid:paraId="1952CC59" w16cid:durableId="22C2ADB3"/>
  <w16cid:commentId w16cid:paraId="67A0F9F0" w16cid:durableId="22C2AE92"/>
  <w16cid:commentId w16cid:paraId="37D8B7C9" w16cid:durableId="22C2A7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1AF40" w14:textId="77777777" w:rsidR="00827BFE" w:rsidRDefault="00827BFE">
      <w:r>
        <w:separator/>
      </w:r>
    </w:p>
    <w:p w14:paraId="632CF973" w14:textId="77777777" w:rsidR="00827BFE" w:rsidRDefault="00827BFE"/>
    <w:p w14:paraId="4F6A8A64" w14:textId="77777777" w:rsidR="00827BFE" w:rsidRDefault="00827BFE"/>
  </w:endnote>
  <w:endnote w:type="continuationSeparator" w:id="0">
    <w:p w14:paraId="0FE0CB43" w14:textId="77777777" w:rsidR="00827BFE" w:rsidRDefault="00827BFE">
      <w:r>
        <w:continuationSeparator/>
      </w:r>
    </w:p>
    <w:p w14:paraId="3DE27014" w14:textId="77777777" w:rsidR="00827BFE" w:rsidRDefault="00827BFE"/>
    <w:p w14:paraId="32F28596" w14:textId="77777777" w:rsidR="00827BFE" w:rsidRDefault="00827BFE"/>
  </w:endnote>
  <w:endnote w:type="continuationNotice" w:id="1">
    <w:p w14:paraId="78B2B135" w14:textId="77777777" w:rsidR="00827BFE" w:rsidRDefault="00827BFE"/>
    <w:p w14:paraId="7A454798" w14:textId="77777777" w:rsidR="00827BFE" w:rsidRDefault="00827B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2F36" w14:textId="77777777" w:rsidR="00827BFE" w:rsidRDefault="00827BFE">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CODI Implementation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6BD02B1E" w14:textId="77777777" w:rsidR="00827BFE" w:rsidRDefault="00827BFE">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r>
      <w:rPr>
        <w:rStyle w:val="PageNumber"/>
      </w:rPr>
      <w:fldChar w:fldCharType="begin"/>
    </w:r>
    <w:r>
      <w:rPr>
        <w:rStyle w:val="PageNumber"/>
        <w:noProof/>
      </w:rPr>
      <w:instrText xml:space="preserve"> STYLEREF  PubDate  \* MERGEFORMAT </w:instrText>
    </w:r>
    <w:r>
      <w:rPr>
        <w:rStyle w:val="PageNumber"/>
      </w:rPr>
      <w:fldChar w:fldCharType="separate"/>
    </w:r>
    <w:r>
      <w:rPr>
        <w:rStyle w:val="PageNumber"/>
        <w:noProof/>
      </w:rPr>
      <w:t>October November 146, 2019</w:t>
    </w:r>
    <w:r>
      <w:rPr>
        <w:noProof/>
      </w:rPr>
      <w:fldChar w:fldCharType="end"/>
    </w:r>
    <w:r>
      <w:rPr>
        <w:rStyle w:val="PageNumber"/>
      </w:rPr>
      <w:t>&lt;Pub Date&gt;</w:t>
    </w:r>
    <w:r>
      <w:rPr>
        <w:noProof/>
      </w:rPr>
      <w:fldChar w:fldCharType="begin"/>
    </w:r>
    <w:r>
      <w:rPr>
        <w:noProof/>
      </w:rPr>
      <w:instrText xml:space="preserve"> STYLEREF PubDate \* MERGEFORMAT </w:instrText>
    </w:r>
    <w:r>
      <w:rPr>
        <w:noProof/>
      </w:rPr>
      <w:fldChar w:fldCharType="separate"/>
    </w:r>
    <w:r>
      <w:rPr>
        <w:noProof/>
      </w:rPr>
      <w:t>October November 146, 2019</w:t>
    </w:r>
    <w:r>
      <w:rPr>
        <w:noProof/>
      </w:rPr>
      <w:fldChar w:fldCharType="end"/>
    </w:r>
  </w:p>
  <w:p w14:paraId="2C130B85" w14:textId="77777777" w:rsidR="00827BFE" w:rsidRDefault="00827BFE">
    <w:pPr>
      <w:pStyle w:val="Footer2"/>
    </w:pPr>
    <w:r>
      <w:rPr>
        <w:b w:val="0"/>
        <w:bCs/>
        <w:noProof/>
      </w:rPr>
      <w:fldChar w:fldCharType="begin"/>
    </w:r>
    <w:r>
      <w:rPr>
        <w:b w:val="0"/>
        <w:bCs/>
        <w:noProof/>
      </w:rPr>
      <w:instrText xml:space="preserve"> STYLEREF Classification \* MERGEFORMAT </w:instrText>
    </w:r>
    <w:r>
      <w:rPr>
        <w:b w:val="0"/>
        <w:bCs/>
        <w:noProof/>
      </w:rPr>
      <w:fldChar w:fldCharType="separate"/>
    </w:r>
    <w:r>
      <w:rPr>
        <w:noProof/>
      </w:rPr>
      <w:t>Error! No text of specified style in document.</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2C56F" w14:textId="60359CE0" w:rsidR="00827BFE" w:rsidRDefault="00827BFE">
    <w:pPr>
      <w:pStyle w:val="Footer"/>
      <w:rPr>
        <w:rStyle w:val="PageNumber"/>
      </w:rPr>
    </w:pPr>
    <w:r>
      <w:rPr>
        <w:noProof/>
      </w:rPr>
      <w:fldChar w:fldCharType="begin"/>
    </w:r>
    <w:r>
      <w:rPr>
        <w:noProof/>
      </w:rPr>
      <w:instrText xml:space="preserve"> STYLEREF  "Doc Title"  \* MERGEFORMAT </w:instrText>
    </w:r>
    <w:r>
      <w:rPr>
        <w:noProof/>
      </w:rPr>
      <w:fldChar w:fldCharType="end"/>
    </w:r>
    <w:r>
      <w:rPr>
        <w:noProof/>
      </w:rPr>
      <w:t xml:space="preserve"> </w:t>
    </w:r>
    <w:r>
      <w:tab/>
    </w:r>
    <w:r w:rsidRPr="008908A7">
      <w:t>© 20</w:t>
    </w:r>
    <w:r>
      <w:t>20</w:t>
    </w:r>
    <w:r w:rsidRPr="008908A7">
      <w:t xml:space="preserve"> The MITRE Corporation. ALL RIGHTS RESERVED.</w:t>
    </w:r>
    <w:r>
      <w:tab/>
    </w:r>
    <w:r>
      <w:rPr>
        <w:rStyle w:val="PageNumber"/>
      </w:rPr>
      <w:fldChar w:fldCharType="begin"/>
    </w:r>
    <w:r>
      <w:rPr>
        <w:rStyle w:val="PageNumber"/>
      </w:rPr>
      <w:instrText xml:space="preserve"> PAGE </w:instrText>
    </w:r>
    <w:r>
      <w:rPr>
        <w:rStyle w:val="PageNumber"/>
      </w:rPr>
      <w:fldChar w:fldCharType="separate"/>
    </w:r>
    <w:r w:rsidR="00442FA6">
      <w:rPr>
        <w:rStyle w:val="PageNumber"/>
        <w:noProof/>
      </w:rPr>
      <w:t>1</w:t>
    </w:r>
    <w:r>
      <w:rPr>
        <w:rStyle w:val="PageNumber"/>
      </w:rPr>
      <w:fldChar w:fldCharType="end"/>
    </w:r>
  </w:p>
  <w:p w14:paraId="708CD5CA" w14:textId="26DA0DD5" w:rsidR="00827BFE" w:rsidRDefault="00827BFE">
    <w:pPr>
      <w:pStyle w:val="VersionDateLineFooter"/>
    </w:pPr>
    <w:r>
      <w:rPr>
        <w:noProof/>
      </w:rPr>
      <w:fldChar w:fldCharType="begin"/>
    </w:r>
    <w:r>
      <w:rPr>
        <w:noProof/>
      </w:rPr>
      <w:instrText xml:space="preserve"> STYLEREF  Version  \* MERGEFORMAT </w:instrText>
    </w:r>
    <w:r>
      <w:rPr>
        <w:noProof/>
      </w:rPr>
      <w:fldChar w:fldCharType="separate"/>
    </w:r>
    <w:r w:rsidR="00442FA6">
      <w:rPr>
        <w:noProof/>
      </w:rPr>
      <w:t>Version DRAFT</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E37BA" w14:textId="20E0ADF6" w:rsidR="00827BFE" w:rsidRDefault="00827BFE">
    <w:pPr>
      <w:pStyle w:val="Footer"/>
      <w:rPr>
        <w:rStyle w:val="PageNumber"/>
      </w:rPr>
    </w:pPr>
    <w:r>
      <w:rPr>
        <w:noProof/>
      </w:rPr>
      <w:fldChar w:fldCharType="begin"/>
    </w:r>
    <w:r>
      <w:rPr>
        <w:noProof/>
      </w:rPr>
      <w:instrText xml:space="preserve"> STYLEREF  "Doc Title"  \* MERGEFORMAT </w:instrText>
    </w:r>
    <w:r>
      <w:rPr>
        <w:noProof/>
      </w:rPr>
      <w:fldChar w:fldCharType="end"/>
    </w:r>
    <w:r>
      <w:tab/>
      <w:t xml:space="preserve"> </w:t>
    </w:r>
    <w:r w:rsidRPr="008908A7">
      <w:t>© 20</w:t>
    </w:r>
    <w:r>
      <w:t>20</w:t>
    </w:r>
    <w:r w:rsidRPr="008908A7">
      <w:t xml:space="preserve"> The MITRE Corporation. ALL RIGHTS RESERVED.</w:t>
    </w:r>
    <w:r>
      <w:tab/>
    </w:r>
    <w:r>
      <w:rPr>
        <w:rStyle w:val="PageNumber"/>
      </w:rPr>
      <w:fldChar w:fldCharType="begin"/>
    </w:r>
    <w:r>
      <w:rPr>
        <w:rStyle w:val="PageNumber"/>
      </w:rPr>
      <w:instrText xml:space="preserve"> PAGE </w:instrText>
    </w:r>
    <w:r>
      <w:rPr>
        <w:rStyle w:val="PageNumber"/>
      </w:rPr>
      <w:fldChar w:fldCharType="separate"/>
    </w:r>
    <w:r w:rsidR="00442FA6">
      <w:rPr>
        <w:rStyle w:val="PageNumber"/>
        <w:noProof/>
      </w:rPr>
      <w:t>21</w:t>
    </w:r>
    <w:r>
      <w:rPr>
        <w:rStyle w:val="PageNumber"/>
      </w:rPr>
      <w:fldChar w:fldCharType="end"/>
    </w:r>
  </w:p>
  <w:p w14:paraId="078CA773" w14:textId="72464C0B" w:rsidR="00827BFE" w:rsidRDefault="00827BFE">
    <w:pPr>
      <w:pStyle w:val="VersionDateLineFooter"/>
    </w:pPr>
    <w:r>
      <w:rPr>
        <w:noProof/>
      </w:rPr>
      <w:fldChar w:fldCharType="begin"/>
    </w:r>
    <w:r>
      <w:rPr>
        <w:noProof/>
      </w:rPr>
      <w:instrText xml:space="preserve"> STYLEREF  Version  \* MERGEFORMAT </w:instrText>
    </w:r>
    <w:r>
      <w:rPr>
        <w:noProof/>
      </w:rPr>
      <w:fldChar w:fldCharType="separate"/>
    </w:r>
    <w:r w:rsidR="00442FA6">
      <w:rPr>
        <w:noProof/>
      </w:rPr>
      <w:t>Version DRAFT</w:t>
    </w:r>
    <w:r>
      <w:rPr>
        <w:noProof/>
      </w:rPr>
      <w:fldChar w:fldCharType="end"/>
    </w:r>
    <w:r>
      <w:rPr>
        <w:rStyle w:val="PageNumber"/>
      </w:rPr>
      <w:tab/>
    </w:r>
    <w:r>
      <w:rPr>
        <w:rStyle w:val="PageNumber"/>
      </w:rPr>
      <w:tab/>
    </w:r>
    <w:r>
      <w:rPr>
        <w:noProof/>
      </w:rPr>
      <w:fldChar w:fldCharType="begin"/>
    </w:r>
    <w:r>
      <w:rPr>
        <w:noProof/>
      </w:rPr>
      <w:instrText xml:space="preserve"> STYLEREF  PubDate  \* MERGEFORMAT </w:instrTex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E8A49" w14:textId="77777777" w:rsidR="00827BFE" w:rsidRDefault="00827BFE" w:rsidP="009C7BF1">
      <w:r>
        <w:separator/>
      </w:r>
    </w:p>
  </w:footnote>
  <w:footnote w:type="continuationSeparator" w:id="0">
    <w:p w14:paraId="4E1A8395" w14:textId="77777777" w:rsidR="00827BFE" w:rsidRDefault="00827BFE">
      <w:r>
        <w:continuationSeparator/>
      </w:r>
    </w:p>
    <w:p w14:paraId="6A36D9B9" w14:textId="77777777" w:rsidR="00827BFE" w:rsidRDefault="00827BFE"/>
    <w:p w14:paraId="554B6BF1" w14:textId="77777777" w:rsidR="00827BFE" w:rsidRDefault="00827BFE"/>
  </w:footnote>
  <w:footnote w:type="continuationNotice" w:id="1">
    <w:p w14:paraId="3D1B9C9C" w14:textId="77777777" w:rsidR="00827BFE" w:rsidRDefault="00827BFE"/>
    <w:p w14:paraId="6753EE60" w14:textId="77777777" w:rsidR="00827BFE" w:rsidRDefault="00827BFE"/>
  </w:footnote>
  <w:footnote w:id="2">
    <w:p w14:paraId="228438BC" w14:textId="77777777" w:rsidR="00827BFE" w:rsidRDefault="00827BFE" w:rsidP="00F937B0">
      <w:pPr>
        <w:pStyle w:val="FootnoteText"/>
      </w:pPr>
      <w:r>
        <w:rPr>
          <w:rStyle w:val="FootnoteReference"/>
        </w:rPr>
        <w:footnoteRef/>
      </w:r>
      <w:r>
        <w:t xml:space="preserve"> Note: prevalence estimates of obesity will include two categories: those that are category 4 and 4a.</w:t>
      </w:r>
    </w:p>
  </w:footnote>
  <w:footnote w:id="3">
    <w:p w14:paraId="45813DD7" w14:textId="77777777" w:rsidR="00827BFE" w:rsidRDefault="00827BFE" w:rsidP="00A40DF0">
      <w:pPr>
        <w:pStyle w:val="FootnoteText"/>
      </w:pPr>
      <w:r>
        <w:rPr>
          <w:rStyle w:val="FootnoteReference"/>
        </w:rPr>
        <w:footnoteRef/>
      </w:r>
      <w:r>
        <w:t xml:space="preserve"> Based on randomly selected paired height and weight data that are processed to extract biologically implausible values.</w:t>
      </w:r>
    </w:p>
  </w:footnote>
  <w:footnote w:id="4">
    <w:p w14:paraId="0A2E4E21" w14:textId="5317822D" w:rsidR="00827BFE" w:rsidRDefault="00827BFE">
      <w:pPr>
        <w:pStyle w:val="FootnoteText"/>
      </w:pPr>
      <w:r>
        <w:rPr>
          <w:rStyle w:val="FootnoteReference"/>
        </w:rPr>
        <w:footnoteRef/>
      </w:r>
      <w:r>
        <w:t xml:space="preserve"> </w:t>
      </w:r>
      <w:r w:rsidRPr="00C359B1">
        <w:t>Daymont</w:t>
      </w:r>
      <w:r>
        <w:t>,</w:t>
      </w:r>
      <w:r w:rsidRPr="00C359B1">
        <w:t xml:space="preserve"> C</w:t>
      </w:r>
      <w:r>
        <w:t>.</w:t>
      </w:r>
      <w:r w:rsidRPr="00C359B1">
        <w:t>, Ross</w:t>
      </w:r>
      <w:r>
        <w:t>,</w:t>
      </w:r>
      <w:r w:rsidRPr="00C359B1">
        <w:t xml:space="preserve"> M</w:t>
      </w:r>
      <w:r>
        <w:t>.</w:t>
      </w:r>
      <w:r w:rsidRPr="00C359B1">
        <w:t>E</w:t>
      </w:r>
      <w:r>
        <w:t>.</w:t>
      </w:r>
      <w:r w:rsidRPr="00C359B1">
        <w:t>, Localio</w:t>
      </w:r>
      <w:r>
        <w:t>.</w:t>
      </w:r>
      <w:r w:rsidRPr="00C359B1">
        <w:t xml:space="preserve"> A</w:t>
      </w:r>
      <w:r>
        <w:t>.</w:t>
      </w:r>
      <w:r w:rsidRPr="00C359B1">
        <w:t>R</w:t>
      </w:r>
      <w:r>
        <w:t>.</w:t>
      </w:r>
      <w:r w:rsidRPr="00C359B1">
        <w:t>, Fiks</w:t>
      </w:r>
      <w:r>
        <w:t>,</w:t>
      </w:r>
      <w:r w:rsidRPr="00C359B1">
        <w:t xml:space="preserve"> A</w:t>
      </w:r>
      <w:r>
        <w:t>.</w:t>
      </w:r>
      <w:r w:rsidRPr="00C359B1">
        <w:t>G</w:t>
      </w:r>
      <w:r>
        <w:t>.</w:t>
      </w:r>
      <w:r w:rsidRPr="00C359B1">
        <w:t>, Wasserman</w:t>
      </w:r>
      <w:r>
        <w:t>,</w:t>
      </w:r>
      <w:r w:rsidRPr="00C359B1">
        <w:t xml:space="preserve"> R</w:t>
      </w:r>
      <w:r>
        <w:t>.</w:t>
      </w:r>
      <w:r w:rsidRPr="00C359B1">
        <w:t>C</w:t>
      </w:r>
      <w:r>
        <w:t>.</w:t>
      </w:r>
      <w:r w:rsidRPr="00C359B1">
        <w:t xml:space="preserve">, </w:t>
      </w:r>
      <w:r>
        <w:t xml:space="preserve">&amp; </w:t>
      </w:r>
      <w:r w:rsidRPr="00C359B1">
        <w:t>Grundmeier</w:t>
      </w:r>
      <w:r>
        <w:t>,</w:t>
      </w:r>
      <w:r w:rsidRPr="00C359B1">
        <w:t xml:space="preserve"> R</w:t>
      </w:r>
      <w:r>
        <w:t>.</w:t>
      </w:r>
      <w:r w:rsidRPr="00C359B1">
        <w:t xml:space="preserve">W. </w:t>
      </w:r>
      <w:r>
        <w:t xml:space="preserve">(2017). </w:t>
      </w:r>
      <w:r w:rsidRPr="00C359B1">
        <w:t xml:space="preserve">Automated identification of implausible values in growth data from pediatric electronic health records, </w:t>
      </w:r>
      <w:r w:rsidRPr="001C5159">
        <w:rPr>
          <w:i/>
          <w:iCs/>
        </w:rPr>
        <w:t>JAMIA</w:t>
      </w:r>
      <w:r w:rsidRPr="00C359B1">
        <w:t xml:space="preserve"> 24(6): 1080–1087.</w:t>
      </w:r>
    </w:p>
  </w:footnote>
  <w:footnote w:id="5">
    <w:p w14:paraId="2D78067B" w14:textId="77777777" w:rsidR="00827BFE" w:rsidRDefault="00827BFE">
      <w:pPr>
        <w:pStyle w:val="FootnoteText"/>
      </w:pPr>
      <w:r>
        <w:rPr>
          <w:rStyle w:val="FootnoteReference"/>
        </w:rPr>
        <w:footnoteRef/>
      </w:r>
      <w:r>
        <w:t xml:space="preserve"> </w:t>
      </w:r>
      <w:r w:rsidRPr="00C359B1">
        <w:t>The MITRE Corporation. mitre/growthcleanr. Available: https://github.com/mitre/growthcleanr.</w:t>
      </w:r>
    </w:p>
  </w:footnote>
  <w:footnote w:id="6">
    <w:p w14:paraId="709D62E4" w14:textId="47E9DC14" w:rsidR="00827BFE" w:rsidRDefault="00827BFE" w:rsidP="00172225">
      <w:pPr>
        <w:pStyle w:val="FootnoteText"/>
      </w:pPr>
      <w:r>
        <w:rPr>
          <w:rStyle w:val="FootnoteReference"/>
        </w:rPr>
        <w:footnoteRef/>
      </w:r>
      <w:r>
        <w:t xml:space="preserve"> IQVIA’s Ambulatory EMR (AEMR) data contains the clinical data of approximately 74 million patients since 2006 and 22 million per year from all 50 states recorded by over 100,000 providers who are affiliated with over 800 ambulatory large practices and physician networks. About 40% of the contributing physicians are primary care practitioners, and the remaining 60% are specialists. These records capture key clinical variables such as laboratory values, weight, and blood pressure to prescriptions, diagnoses, hospital metrics, and therapeutic outcomes. AEMR is also used to connect patient vitals, health behaviors, and risk factors to diagnosis and treatment and develop insights based on provider treatment decisions and prescribed medications (in contrast to dispensed medications).</w:t>
      </w:r>
    </w:p>
    <w:p w14:paraId="60E7A63C" w14:textId="0AB69E22" w:rsidR="00827BFE" w:rsidRDefault="00827BFE" w:rsidP="00172225">
      <w:pPr>
        <w:pStyle w:val="FootnoteText"/>
      </w:pPr>
      <w:r>
        <w:t>Source: AEMR-US version 5 OMOP 5 (Aug 2019 release) accessed through the E360TM Software-as-a-Service (SaaS) Platform.</w:t>
      </w:r>
    </w:p>
  </w:footnote>
  <w:footnote w:id="7">
    <w:p w14:paraId="31E12ABB" w14:textId="77777777" w:rsidR="00827BFE" w:rsidRDefault="00827BFE">
      <w:pPr>
        <w:pStyle w:val="FootnoteText"/>
      </w:pPr>
      <w:r>
        <w:rPr>
          <w:rStyle w:val="FootnoteReference"/>
        </w:rPr>
        <w:footnoteRef/>
      </w:r>
      <w:r>
        <w:t xml:space="preserve"> </w:t>
      </w:r>
      <w:hyperlink r:id="rId1" w:history="1">
        <w:r w:rsidRPr="004820DE">
          <w:rPr>
            <w:rStyle w:val="Hyperlink"/>
          </w:rPr>
          <w:t>https://synthetichealth.github.io/synthea/</w:t>
        </w:r>
      </w:hyperlink>
      <w:r>
        <w:t xml:space="preserve"> </w:t>
      </w:r>
    </w:p>
  </w:footnote>
  <w:footnote w:id="8">
    <w:p w14:paraId="26312718" w14:textId="03160C76" w:rsidR="00827BFE" w:rsidRDefault="00827BFE">
      <w:pPr>
        <w:pStyle w:val="FootnoteText"/>
      </w:pPr>
      <w:r w:rsidRPr="00A3194F">
        <w:rPr>
          <w:rStyle w:val="FootnoteReference"/>
        </w:rPr>
        <w:footnoteRef/>
      </w:r>
      <w:r w:rsidRPr="00A3194F">
        <w:t xml:space="preserve"> </w:t>
      </w:r>
      <w:hyperlink r:id="rId2" w:history="1">
        <w:r w:rsidRPr="000C3F14">
          <w:rPr>
            <w:rStyle w:val="Hyperlink"/>
          </w:rPr>
          <w:t>https://github.com/NORC-UChicago/CODI-PQ</w:t>
        </w:r>
      </w:hyperlink>
      <w:r>
        <w:t xml:space="preserve"> </w:t>
      </w:r>
    </w:p>
  </w:footnote>
  <w:footnote w:id="9">
    <w:p w14:paraId="1563468C" w14:textId="77777777" w:rsidR="00827BFE" w:rsidRDefault="00827BFE" w:rsidP="0077614D">
      <w:pPr>
        <w:pStyle w:val="FootnoteText"/>
      </w:pPr>
      <w:r>
        <w:rPr>
          <w:rStyle w:val="FootnoteReference"/>
        </w:rPr>
        <w:footnoteRef/>
      </w:r>
      <w:r>
        <w:t xml:space="preserve"> </w:t>
      </w:r>
      <w:hyperlink r:id="rId3" w:history="1">
        <w:r>
          <w:rPr>
            <w:rStyle w:val="Hyperlink"/>
          </w:rPr>
          <w:t>https://www.census.gov/programs-surveys/geography/guidance/geo-areas/zctas.html</w:t>
        </w:r>
      </w:hyperlink>
    </w:p>
  </w:footnote>
  <w:footnote w:id="10">
    <w:p w14:paraId="48B53F4A" w14:textId="77777777" w:rsidR="00827BFE" w:rsidRDefault="00827BFE">
      <w:pPr>
        <w:pStyle w:val="FootnoteText"/>
      </w:pPr>
      <w:r>
        <w:rPr>
          <w:rStyle w:val="FootnoteReference"/>
        </w:rPr>
        <w:footnoteRef/>
      </w:r>
      <w:r>
        <w:t xml:space="preserve"> </w:t>
      </w:r>
      <w:hyperlink r:id="rId4" w:history="1">
        <w:r w:rsidRPr="00D911B8">
          <w:rPr>
            <w:rStyle w:val="Hyperlink"/>
          </w:rPr>
          <w:t>https://github.com/mitre/growthcleanr</w:t>
        </w:r>
      </w:hyperlink>
      <w:r>
        <w:t xml:space="preserve"> </w:t>
      </w:r>
    </w:p>
  </w:footnote>
  <w:footnote w:id="11">
    <w:p w14:paraId="31734C4C" w14:textId="77777777" w:rsidR="00827BFE" w:rsidRDefault="00827BFE" w:rsidP="00602B54">
      <w:pPr>
        <w:pStyle w:val="FootnoteText"/>
      </w:pPr>
      <w:r>
        <w:rPr>
          <w:rStyle w:val="FootnoteReference"/>
        </w:rPr>
        <w:footnoteRef/>
      </w:r>
      <w:r>
        <w:t xml:space="preserve"> </w:t>
      </w:r>
      <w:hyperlink r:id="rId5" w:history="1">
        <w:r w:rsidRPr="00D911B8">
          <w:rPr>
            <w:rStyle w:val="Hyperlink"/>
          </w:rPr>
          <w:t>https://github.com/NORC-UChicago/CODI-PQ</w:t>
        </w:r>
      </w:hyperlink>
      <w:r>
        <w:t xml:space="preserve"> </w:t>
      </w:r>
    </w:p>
  </w:footnote>
  <w:footnote w:id="12">
    <w:p w14:paraId="53CA5C85" w14:textId="77777777" w:rsidR="00827BFE" w:rsidRPr="001C5159" w:rsidRDefault="00827BFE" w:rsidP="00AF2CE7">
      <w:pPr>
        <w:pStyle w:val="CommentText"/>
        <w:rPr>
          <w:rStyle w:val="FootnoteTextChar"/>
        </w:rPr>
      </w:pPr>
      <w:r>
        <w:rPr>
          <w:rStyle w:val="FootnoteReference"/>
        </w:rPr>
        <w:footnoteRef/>
      </w:r>
      <w:r>
        <w:t xml:space="preserve"> </w:t>
      </w:r>
      <w:r w:rsidRPr="001C5159">
        <w:rPr>
          <w:rStyle w:val="FootnoteTextChar"/>
        </w:rPr>
        <w:t>The complement of a proportion p is (1 – p). The complement of the number of events in the numerator for p is the number of events in the numerator for (1 – p).</w:t>
      </w:r>
    </w:p>
    <w:p w14:paraId="53201A01" w14:textId="154C4AA3" w:rsidR="00827BFE" w:rsidRDefault="00827BFE">
      <w:pPr>
        <w:pStyle w:val="FootnoteText"/>
      </w:pPr>
    </w:p>
  </w:footnote>
  <w:footnote w:id="13">
    <w:p w14:paraId="2F42D4CE" w14:textId="77777777" w:rsidR="00827BFE" w:rsidRDefault="00827BFE" w:rsidP="003D4A66">
      <w:pPr>
        <w:pStyle w:val="FootnoteText"/>
      </w:pPr>
      <w:r>
        <w:rPr>
          <w:rStyle w:val="FootnoteReference"/>
        </w:rPr>
        <w:footnoteRef/>
      </w:r>
      <w:r>
        <w:t xml:space="preserve"> Note: prevalence estimates of obesity will include two categories: those that are category 4 and 4a.</w:t>
      </w:r>
    </w:p>
  </w:footnote>
  <w:footnote w:id="14">
    <w:p w14:paraId="31EAAA78" w14:textId="77777777" w:rsidR="00827BFE" w:rsidRDefault="00827BFE" w:rsidP="00AD72CE">
      <w:pPr>
        <w:pStyle w:val="FootnoteText"/>
      </w:pPr>
      <w:r>
        <w:rPr>
          <w:rStyle w:val="FootnoteReference"/>
        </w:rPr>
        <w:footnoteRef/>
      </w:r>
      <w:r>
        <w:t xml:space="preserve"> </w:t>
      </w:r>
      <w:hyperlink r:id="rId6" w:history="1">
        <w:r>
          <w:rPr>
            <w:rStyle w:val="Hyperlink"/>
          </w:rPr>
          <w:t>https://www.census.gov/programs-surveys/geography/guidance/geo-areas/zctas.html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6F287" w14:textId="4686BEA4" w:rsidR="00827BFE" w:rsidRPr="00F91AE1" w:rsidRDefault="00827BFE">
    <w:pPr>
      <w:pStyle w:val="Header"/>
    </w:pPr>
    <w:r w:rsidRPr="00263543">
      <w:rPr>
        <w:noProof/>
      </w:rPr>
      <w:fldChar w:fldCharType="begin"/>
    </w:r>
    <w:r w:rsidRPr="00263543">
      <w:rPr>
        <w:noProof/>
      </w:rPr>
      <w:instrText xml:space="preserve"> STYLEREF  Draft1  \* MERGEFORMAT </w:instrText>
    </w:r>
    <w:r w:rsidRPr="00263543">
      <w:rPr>
        <w:noProof/>
      </w:rPr>
      <w:fldChar w:fldCharType="separate"/>
    </w:r>
    <w:r w:rsidR="00442FA6">
      <w:rPr>
        <w:noProof/>
      </w:rPr>
      <w:t>Draft</w:t>
    </w:r>
    <w:r w:rsidRPr="00263543">
      <w:rPr>
        <w:noProof/>
      </w:rPr>
      <w:fldChar w:fldCharType="end"/>
    </w:r>
  </w:p>
  <w:p w14:paraId="2DE2CB8F" w14:textId="77777777" w:rsidR="00827BFE" w:rsidRDefault="00827BFE" w:rsidP="00263543">
    <w:pPr>
      <w:pStyle w:val="Header2"/>
    </w:pPr>
    <w:r>
      <w:t>Centers for Disease Control and Prevention</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2AC46" w14:textId="3D746864" w:rsidR="00827BFE" w:rsidRDefault="00827BFE" w:rsidP="00F91AE1">
    <w:pPr>
      <w:pStyle w:val="Header"/>
      <w:tabs>
        <w:tab w:val="clear" w:pos="4320"/>
        <w:tab w:val="center" w:pos="4680"/>
      </w:tabs>
    </w:pPr>
    <w:r>
      <w:rPr>
        <w:noProof/>
      </w:rPr>
      <w:fldChar w:fldCharType="begin"/>
    </w:r>
    <w:r>
      <w:rPr>
        <w:noProof/>
      </w:rPr>
      <w:instrText xml:space="preserve"> STYLEREF  Draft1  \* MERGEFORMAT </w:instrText>
    </w:r>
    <w:r>
      <w:rPr>
        <w:noProof/>
      </w:rPr>
      <w:fldChar w:fldCharType="separate"/>
    </w:r>
    <w:r w:rsidR="00442FA6">
      <w:rPr>
        <w:noProof/>
      </w:rPr>
      <w:t>Draft</w:t>
    </w:r>
    <w:r>
      <w:rPr>
        <w:noProof/>
      </w:rPr>
      <w:fldChar w:fldCharType="end"/>
    </w:r>
  </w:p>
  <w:p w14:paraId="65D7D9DC" w14:textId="77777777" w:rsidR="00827BFE" w:rsidRPr="00F91AE1" w:rsidRDefault="00827BFE" w:rsidP="00E76258">
    <w:pPr>
      <w:pStyle w:val="Header2"/>
    </w:pPr>
    <w:r>
      <w:t>Centers for Disease Control and Prevention</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1293B" w14:textId="77777777" w:rsidR="00827BFE" w:rsidRDefault="00827BFE"/>
  <w:p w14:paraId="4CD79692" w14:textId="77777777" w:rsidR="00827BFE" w:rsidRDefault="00827B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9BB"/>
    <w:multiLevelType w:val="hybridMultilevel"/>
    <w:tmpl w:val="005076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5395E"/>
    <w:multiLevelType w:val="hybridMultilevel"/>
    <w:tmpl w:val="01DCC2AC"/>
    <w:lvl w:ilvl="0" w:tplc="0409000F">
      <w:start w:val="1"/>
      <w:numFmt w:val="decimal"/>
      <w:lvlText w:val="%1."/>
      <w:lvlJc w:val="left"/>
      <w:pPr>
        <w:ind w:left="7200" w:hanging="360"/>
      </w:pPr>
    </w:lvl>
    <w:lvl w:ilvl="1" w:tplc="04090019">
      <w:start w:val="1"/>
      <w:numFmt w:val="lowerLetter"/>
      <w:lvlText w:val="%2."/>
      <w:lvlJc w:val="left"/>
      <w:pPr>
        <w:ind w:left="7920" w:hanging="360"/>
      </w:pPr>
    </w:lvl>
    <w:lvl w:ilvl="2" w:tplc="0409001B">
      <w:start w:val="1"/>
      <w:numFmt w:val="lowerRoman"/>
      <w:lvlText w:val="%3."/>
      <w:lvlJc w:val="right"/>
      <w:pPr>
        <w:ind w:left="8640" w:hanging="180"/>
      </w:pPr>
    </w:lvl>
    <w:lvl w:ilvl="3" w:tplc="0409000F">
      <w:start w:val="1"/>
      <w:numFmt w:val="decimal"/>
      <w:lvlText w:val="%4."/>
      <w:lvlJc w:val="left"/>
      <w:pPr>
        <w:ind w:left="9360" w:hanging="360"/>
      </w:pPr>
    </w:lvl>
    <w:lvl w:ilvl="4" w:tplc="04090019">
      <w:start w:val="1"/>
      <w:numFmt w:val="lowerLetter"/>
      <w:lvlText w:val="%5."/>
      <w:lvlJc w:val="left"/>
      <w:pPr>
        <w:ind w:left="10080" w:hanging="360"/>
      </w:pPr>
    </w:lvl>
    <w:lvl w:ilvl="5" w:tplc="0409001B">
      <w:start w:val="1"/>
      <w:numFmt w:val="lowerRoman"/>
      <w:lvlText w:val="%6."/>
      <w:lvlJc w:val="right"/>
      <w:pPr>
        <w:ind w:left="10800" w:hanging="180"/>
      </w:pPr>
    </w:lvl>
    <w:lvl w:ilvl="6" w:tplc="0409000F">
      <w:start w:val="1"/>
      <w:numFmt w:val="decimal"/>
      <w:lvlText w:val="%7."/>
      <w:lvlJc w:val="left"/>
      <w:pPr>
        <w:ind w:left="11520" w:hanging="360"/>
      </w:pPr>
    </w:lvl>
    <w:lvl w:ilvl="7" w:tplc="04090019">
      <w:start w:val="1"/>
      <w:numFmt w:val="lowerLetter"/>
      <w:lvlText w:val="%8."/>
      <w:lvlJc w:val="left"/>
      <w:pPr>
        <w:ind w:left="12240" w:hanging="360"/>
      </w:pPr>
    </w:lvl>
    <w:lvl w:ilvl="8" w:tplc="0409001B">
      <w:start w:val="1"/>
      <w:numFmt w:val="lowerRoman"/>
      <w:lvlText w:val="%9."/>
      <w:lvlJc w:val="right"/>
      <w:pPr>
        <w:ind w:left="12960" w:hanging="180"/>
      </w:pPr>
    </w:lvl>
  </w:abstractNum>
  <w:abstractNum w:abstractNumId="2" w15:restartNumberingAfterBreak="0">
    <w:nsid w:val="05B2324D"/>
    <w:multiLevelType w:val="hybridMultilevel"/>
    <w:tmpl w:val="FACA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E2D0C"/>
    <w:multiLevelType w:val="hybridMultilevel"/>
    <w:tmpl w:val="517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4360E"/>
    <w:multiLevelType w:val="hybridMultilevel"/>
    <w:tmpl w:val="042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60FAE"/>
    <w:multiLevelType w:val="hybridMultilevel"/>
    <w:tmpl w:val="5672A5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0" w15:restartNumberingAfterBreak="0">
    <w:nsid w:val="14983C22"/>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FC31FE"/>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55894"/>
    <w:multiLevelType w:val="hybridMultilevel"/>
    <w:tmpl w:val="B164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925F0B"/>
    <w:multiLevelType w:val="hybridMultilevel"/>
    <w:tmpl w:val="9290478C"/>
    <w:lvl w:ilvl="0" w:tplc="AE22F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993918"/>
    <w:multiLevelType w:val="hybridMultilevel"/>
    <w:tmpl w:val="F76A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24561"/>
    <w:multiLevelType w:val="hybridMultilevel"/>
    <w:tmpl w:val="A89048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801C1"/>
    <w:multiLevelType w:val="hybridMultilevel"/>
    <w:tmpl w:val="09763A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3454E27"/>
    <w:multiLevelType w:val="hybridMultilevel"/>
    <w:tmpl w:val="0C5EE8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7536549"/>
    <w:multiLevelType w:val="hybridMultilevel"/>
    <w:tmpl w:val="71A2CCB4"/>
    <w:lvl w:ilvl="0" w:tplc="04090011">
      <w:start w:val="1"/>
      <w:numFmt w:val="decimal"/>
      <w:lvlText w:val="%1)"/>
      <w:lvlJc w:val="left"/>
      <w:pPr>
        <w:ind w:left="720" w:hanging="360"/>
      </w:pPr>
      <w:rPr>
        <w:rFonts w:hint="default"/>
      </w:rPr>
    </w:lvl>
    <w:lvl w:ilvl="1" w:tplc="CCAA13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0B0D8E"/>
    <w:multiLevelType w:val="hybridMultilevel"/>
    <w:tmpl w:val="578638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F812B7A"/>
    <w:multiLevelType w:val="hybridMultilevel"/>
    <w:tmpl w:val="3BBAB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DF3B5A"/>
    <w:multiLevelType w:val="hybridMultilevel"/>
    <w:tmpl w:val="725A6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7291A"/>
    <w:multiLevelType w:val="hybridMultilevel"/>
    <w:tmpl w:val="7DAEE47A"/>
    <w:lvl w:ilvl="0" w:tplc="8F88E7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1A0745"/>
    <w:multiLevelType w:val="hybridMultilevel"/>
    <w:tmpl w:val="52C6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D3B3FDB"/>
    <w:multiLevelType w:val="hybridMultilevel"/>
    <w:tmpl w:val="52C6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6024D1"/>
    <w:multiLevelType w:val="hybridMultilevel"/>
    <w:tmpl w:val="18BC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495133"/>
    <w:multiLevelType w:val="hybridMultilevel"/>
    <w:tmpl w:val="91AE60DE"/>
    <w:lvl w:ilvl="0" w:tplc="04090001">
      <w:start w:val="1"/>
      <w:numFmt w:val="bullet"/>
      <w:lvlText w:val=""/>
      <w:lvlJc w:val="left"/>
      <w:pPr>
        <w:ind w:left="842" w:hanging="360"/>
      </w:pPr>
      <w:rPr>
        <w:rFonts w:ascii="Symbol" w:hAnsi="Symbol" w:cs="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cs="Wingdings" w:hint="default"/>
      </w:rPr>
    </w:lvl>
    <w:lvl w:ilvl="3" w:tplc="04090001" w:tentative="1">
      <w:start w:val="1"/>
      <w:numFmt w:val="bullet"/>
      <w:lvlText w:val=""/>
      <w:lvlJc w:val="left"/>
      <w:pPr>
        <w:ind w:left="3002" w:hanging="360"/>
      </w:pPr>
      <w:rPr>
        <w:rFonts w:ascii="Symbol" w:hAnsi="Symbol" w:cs="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cs="Wingdings" w:hint="default"/>
      </w:rPr>
    </w:lvl>
    <w:lvl w:ilvl="6" w:tplc="04090001" w:tentative="1">
      <w:start w:val="1"/>
      <w:numFmt w:val="bullet"/>
      <w:lvlText w:val=""/>
      <w:lvlJc w:val="left"/>
      <w:pPr>
        <w:ind w:left="5162" w:hanging="360"/>
      </w:pPr>
      <w:rPr>
        <w:rFonts w:ascii="Symbol" w:hAnsi="Symbol" w:cs="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cs="Wingdings" w:hint="default"/>
      </w:rPr>
    </w:lvl>
  </w:abstractNum>
  <w:abstractNum w:abstractNumId="30" w15:restartNumberingAfterBreak="0">
    <w:nsid w:val="4408339A"/>
    <w:multiLevelType w:val="multilevel"/>
    <w:tmpl w:val="E6387D7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6C110A6"/>
    <w:multiLevelType w:val="singleLevel"/>
    <w:tmpl w:val="1D64F1FE"/>
    <w:lvl w:ilvl="0">
      <w:start w:val="1"/>
      <w:numFmt w:val="decimal"/>
      <w:pStyle w:val="Reference"/>
      <w:lvlText w:val="%1."/>
      <w:lvlJc w:val="left"/>
      <w:pPr>
        <w:tabs>
          <w:tab w:val="num" w:pos="504"/>
        </w:tabs>
        <w:ind w:left="504" w:hanging="504"/>
      </w:pPr>
      <w:rPr>
        <w:i w:val="0"/>
        <w:iCs w:val="0"/>
      </w:rPr>
    </w:lvl>
  </w:abstractNum>
  <w:abstractNum w:abstractNumId="32"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3" w15:restartNumberingAfterBreak="0">
    <w:nsid w:val="490868FB"/>
    <w:multiLevelType w:val="hybridMultilevel"/>
    <w:tmpl w:val="4350D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F06C80"/>
    <w:multiLevelType w:val="hybridMultilevel"/>
    <w:tmpl w:val="01D4A3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080E52"/>
    <w:multiLevelType w:val="hybridMultilevel"/>
    <w:tmpl w:val="168C5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C1E306D"/>
    <w:multiLevelType w:val="multilevel"/>
    <w:tmpl w:val="74B6CCFE"/>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7"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8" w15:restartNumberingAfterBreak="0">
    <w:nsid w:val="5E14646E"/>
    <w:multiLevelType w:val="hybridMultilevel"/>
    <w:tmpl w:val="02EC51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2782F"/>
    <w:multiLevelType w:val="hybridMultilevel"/>
    <w:tmpl w:val="756C1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000982"/>
    <w:multiLevelType w:val="hybridMultilevel"/>
    <w:tmpl w:val="D7E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57F36"/>
    <w:multiLevelType w:val="hybridMultilevel"/>
    <w:tmpl w:val="246C8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E3236AD"/>
    <w:multiLevelType w:val="hybridMultilevel"/>
    <w:tmpl w:val="885E1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5"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46" w15:restartNumberingAfterBreak="0">
    <w:nsid w:val="7B2C17EB"/>
    <w:multiLevelType w:val="hybridMultilevel"/>
    <w:tmpl w:val="8F0AD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275234"/>
    <w:multiLevelType w:val="hybridMultilevel"/>
    <w:tmpl w:val="BAB439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6"/>
  </w:num>
  <w:num w:numId="2">
    <w:abstractNumId w:val="44"/>
  </w:num>
  <w:num w:numId="3">
    <w:abstractNumId w:val="25"/>
  </w:num>
  <w:num w:numId="4">
    <w:abstractNumId w:val="7"/>
  </w:num>
  <w:num w:numId="5">
    <w:abstractNumId w:val="9"/>
  </w:num>
  <w:num w:numId="6">
    <w:abstractNumId w:val="37"/>
  </w:num>
  <w:num w:numId="7">
    <w:abstractNumId w:val="30"/>
  </w:num>
  <w:num w:numId="8">
    <w:abstractNumId w:val="31"/>
  </w:num>
  <w:num w:numId="9">
    <w:abstractNumId w:val="45"/>
  </w:num>
  <w:num w:numId="10">
    <w:abstractNumId w:val="26"/>
  </w:num>
  <w:num w:numId="11">
    <w:abstractNumId w:val="32"/>
  </w:num>
  <w:num w:numId="12">
    <w:abstractNumId w:val="6"/>
  </w:num>
  <w:num w:numId="13">
    <w:abstractNumId w:val="40"/>
  </w:num>
  <w:num w:numId="14">
    <w:abstractNumId w:val="8"/>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29"/>
  </w:num>
  <w:num w:numId="18">
    <w:abstractNumId w:val="5"/>
  </w:num>
  <w:num w:numId="19">
    <w:abstractNumId w:val="14"/>
  </w:num>
  <w:num w:numId="20">
    <w:abstractNumId w:val="47"/>
  </w:num>
  <w:num w:numId="21">
    <w:abstractNumId w:val="18"/>
  </w:num>
  <w:num w:numId="22">
    <w:abstractNumId w:val="17"/>
  </w:num>
  <w:num w:numId="23">
    <w:abstractNumId w:val="35"/>
  </w:num>
  <w:num w:numId="24">
    <w:abstractNumId w:val="20"/>
  </w:num>
  <w:num w:numId="25">
    <w:abstractNumId w:val="36"/>
  </w:num>
  <w:num w:numId="26">
    <w:abstractNumId w:val="40"/>
    <w:lvlOverride w:ilvl="0">
      <w:startOverride w:val="1"/>
    </w:lvlOverride>
  </w:num>
  <w:num w:numId="27">
    <w:abstractNumId w:val="43"/>
  </w:num>
  <w:num w:numId="28">
    <w:abstractNumId w:val="42"/>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3"/>
  </w:num>
  <w:num w:numId="32">
    <w:abstractNumId w:val="30"/>
    <w:lvlOverride w:ilvl="0">
      <w:startOverride w:val="3"/>
    </w:lvlOverride>
    <w:lvlOverride w:ilvl="1">
      <w:startOverride w:val="2"/>
    </w:lvlOverride>
  </w:num>
  <w:num w:numId="33">
    <w:abstractNumId w:val="30"/>
    <w:lvlOverride w:ilvl="0">
      <w:startOverride w:val="3"/>
    </w:lvlOverride>
    <w:lvlOverride w:ilvl="1">
      <w:startOverride w:val="2"/>
    </w:lvlOverride>
  </w:num>
  <w:num w:numId="34">
    <w:abstractNumId w:val="30"/>
    <w:lvlOverride w:ilvl="0">
      <w:startOverride w:val="3"/>
    </w:lvlOverride>
    <w:lvlOverride w:ilvl="1">
      <w:startOverride w:val="2"/>
    </w:lvlOverride>
  </w:num>
  <w:num w:numId="35">
    <w:abstractNumId w:val="1"/>
  </w:num>
  <w:num w:numId="36">
    <w:abstractNumId w:val="11"/>
  </w:num>
  <w:num w:numId="37">
    <w:abstractNumId w:val="12"/>
  </w:num>
  <w:num w:numId="38">
    <w:abstractNumId w:val="19"/>
  </w:num>
  <w:num w:numId="39">
    <w:abstractNumId w:val="10"/>
  </w:num>
  <w:num w:numId="40">
    <w:abstractNumId w:val="34"/>
  </w:num>
  <w:num w:numId="41">
    <w:abstractNumId w:val="24"/>
  </w:num>
  <w:num w:numId="42">
    <w:abstractNumId w:val="3"/>
  </w:num>
  <w:num w:numId="43">
    <w:abstractNumId w:val="30"/>
  </w:num>
  <w:num w:numId="44">
    <w:abstractNumId w:val="33"/>
  </w:num>
  <w:num w:numId="45">
    <w:abstractNumId w:val="38"/>
  </w:num>
  <w:num w:numId="46">
    <w:abstractNumId w:val="28"/>
  </w:num>
  <w:num w:numId="47">
    <w:abstractNumId w:val="30"/>
  </w:num>
  <w:num w:numId="48">
    <w:abstractNumId w:val="30"/>
  </w:num>
  <w:num w:numId="49">
    <w:abstractNumId w:val="30"/>
  </w:num>
  <w:num w:numId="50">
    <w:abstractNumId w:val="30"/>
  </w:num>
  <w:num w:numId="51">
    <w:abstractNumId w:val="30"/>
  </w:num>
  <w:num w:numId="52">
    <w:abstractNumId w:val="46"/>
  </w:num>
  <w:num w:numId="53">
    <w:abstractNumId w:val="15"/>
  </w:num>
  <w:num w:numId="54">
    <w:abstractNumId w:val="21"/>
  </w:num>
  <w:num w:numId="55">
    <w:abstractNumId w:val="16"/>
  </w:num>
  <w:num w:numId="56">
    <w:abstractNumId w:val="22"/>
  </w:num>
  <w:num w:numId="57">
    <w:abstractNumId w:val="41"/>
  </w:num>
  <w:num w:numId="58">
    <w:abstractNumId w:val="2"/>
  </w:num>
  <w:num w:numId="59">
    <w:abstractNumId w:val="30"/>
  </w:num>
  <w:num w:numId="60">
    <w:abstractNumId w:val="4"/>
  </w:num>
  <w:num w:numId="61">
    <w:abstractNumId w:val="40"/>
    <w:lvlOverride w:ilvl="0">
      <w:startOverride w:val="1"/>
    </w:lvlOverride>
  </w:num>
  <w:num w:numId="62">
    <w:abstractNumId w:val="0"/>
  </w:num>
  <w:num w:numId="63">
    <w:abstractNumId w:val="8"/>
  </w:num>
  <w:num w:numId="64">
    <w:abstractNumId w:val="8"/>
  </w:num>
  <w:num w:numId="65">
    <w:abstractNumId w:val="40"/>
    <w:lvlOverride w:ilvl="0">
      <w:startOverride w:val="1"/>
    </w:lvlOverride>
  </w:num>
  <w:num w:numId="66">
    <w:abstractNumId w:val="27"/>
  </w:num>
  <w:num w:numId="67">
    <w:abstractNumId w:val="40"/>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52f0xtgeps52est97x29w6xs5fvs2p02rf&quot;&gt;My EndNote Library&lt;record-ids&gt;&lt;item&gt;1&lt;/item&gt;&lt;item&gt;4&lt;/item&gt;&lt;/record-ids&gt;&lt;/item&gt;&lt;/Libraries&gt;"/>
  </w:docVars>
  <w:rsids>
    <w:rsidRoot w:val="00A6371C"/>
    <w:rsid w:val="00001AA4"/>
    <w:rsid w:val="00002D18"/>
    <w:rsid w:val="000046B6"/>
    <w:rsid w:val="00007668"/>
    <w:rsid w:val="00007AAC"/>
    <w:rsid w:val="00007E2D"/>
    <w:rsid w:val="00010989"/>
    <w:rsid w:val="0001187C"/>
    <w:rsid w:val="0001245F"/>
    <w:rsid w:val="000125AE"/>
    <w:rsid w:val="000145B8"/>
    <w:rsid w:val="00016140"/>
    <w:rsid w:val="00017EAD"/>
    <w:rsid w:val="0002142D"/>
    <w:rsid w:val="00021929"/>
    <w:rsid w:val="00021E4C"/>
    <w:rsid w:val="00022053"/>
    <w:rsid w:val="00025B48"/>
    <w:rsid w:val="000337F9"/>
    <w:rsid w:val="00034BD9"/>
    <w:rsid w:val="000366A7"/>
    <w:rsid w:val="00037A2E"/>
    <w:rsid w:val="000400EE"/>
    <w:rsid w:val="00041FDB"/>
    <w:rsid w:val="00042DA9"/>
    <w:rsid w:val="00044555"/>
    <w:rsid w:val="0004499E"/>
    <w:rsid w:val="000467F0"/>
    <w:rsid w:val="00046A4A"/>
    <w:rsid w:val="0005081A"/>
    <w:rsid w:val="00050CB1"/>
    <w:rsid w:val="000516EC"/>
    <w:rsid w:val="0005399E"/>
    <w:rsid w:val="00055775"/>
    <w:rsid w:val="00056493"/>
    <w:rsid w:val="00057068"/>
    <w:rsid w:val="00057A87"/>
    <w:rsid w:val="00061EFF"/>
    <w:rsid w:val="00062675"/>
    <w:rsid w:val="000648CD"/>
    <w:rsid w:val="00067866"/>
    <w:rsid w:val="00070F94"/>
    <w:rsid w:val="00070FE9"/>
    <w:rsid w:val="00071D4D"/>
    <w:rsid w:val="0007265E"/>
    <w:rsid w:val="000817FB"/>
    <w:rsid w:val="00083078"/>
    <w:rsid w:val="00083CC1"/>
    <w:rsid w:val="00091DFE"/>
    <w:rsid w:val="00092399"/>
    <w:rsid w:val="0009319F"/>
    <w:rsid w:val="000939BC"/>
    <w:rsid w:val="000954FF"/>
    <w:rsid w:val="00095EE0"/>
    <w:rsid w:val="0009742C"/>
    <w:rsid w:val="000A05F7"/>
    <w:rsid w:val="000A1D2A"/>
    <w:rsid w:val="000A3F15"/>
    <w:rsid w:val="000A51C3"/>
    <w:rsid w:val="000A608E"/>
    <w:rsid w:val="000A7B58"/>
    <w:rsid w:val="000B1F6D"/>
    <w:rsid w:val="000B33DD"/>
    <w:rsid w:val="000B4089"/>
    <w:rsid w:val="000B4ADD"/>
    <w:rsid w:val="000B5C22"/>
    <w:rsid w:val="000C3F14"/>
    <w:rsid w:val="000C45EE"/>
    <w:rsid w:val="000C66C0"/>
    <w:rsid w:val="000C7E49"/>
    <w:rsid w:val="000D0653"/>
    <w:rsid w:val="000D13FC"/>
    <w:rsid w:val="000D1C5E"/>
    <w:rsid w:val="000D1DE0"/>
    <w:rsid w:val="000D28C7"/>
    <w:rsid w:val="000D2A65"/>
    <w:rsid w:val="000D4555"/>
    <w:rsid w:val="000E0C4B"/>
    <w:rsid w:val="000E1340"/>
    <w:rsid w:val="000E250F"/>
    <w:rsid w:val="000E4903"/>
    <w:rsid w:val="000E4B67"/>
    <w:rsid w:val="000E6708"/>
    <w:rsid w:val="000E794E"/>
    <w:rsid w:val="000F1885"/>
    <w:rsid w:val="000F38BC"/>
    <w:rsid w:val="000F4E56"/>
    <w:rsid w:val="000F50F7"/>
    <w:rsid w:val="001034C9"/>
    <w:rsid w:val="00105B17"/>
    <w:rsid w:val="00106D27"/>
    <w:rsid w:val="001076C9"/>
    <w:rsid w:val="00107E6E"/>
    <w:rsid w:val="001104AE"/>
    <w:rsid w:val="00110ACC"/>
    <w:rsid w:val="001119CA"/>
    <w:rsid w:val="00111C03"/>
    <w:rsid w:val="00111E63"/>
    <w:rsid w:val="00111F79"/>
    <w:rsid w:val="00112B39"/>
    <w:rsid w:val="001156AF"/>
    <w:rsid w:val="00115E85"/>
    <w:rsid w:val="00116E2D"/>
    <w:rsid w:val="00117C13"/>
    <w:rsid w:val="00120F23"/>
    <w:rsid w:val="00121D1D"/>
    <w:rsid w:val="00122129"/>
    <w:rsid w:val="00122711"/>
    <w:rsid w:val="0012292A"/>
    <w:rsid w:val="001229E9"/>
    <w:rsid w:val="0012517E"/>
    <w:rsid w:val="00125D8A"/>
    <w:rsid w:val="001265AC"/>
    <w:rsid w:val="00130608"/>
    <w:rsid w:val="0013116F"/>
    <w:rsid w:val="00131B8A"/>
    <w:rsid w:val="00134A48"/>
    <w:rsid w:val="00134DDC"/>
    <w:rsid w:val="0013666C"/>
    <w:rsid w:val="001401DD"/>
    <w:rsid w:val="0014185C"/>
    <w:rsid w:val="00143E78"/>
    <w:rsid w:val="00145148"/>
    <w:rsid w:val="001476F7"/>
    <w:rsid w:val="0014774E"/>
    <w:rsid w:val="00150BA3"/>
    <w:rsid w:val="001510BD"/>
    <w:rsid w:val="00151DB8"/>
    <w:rsid w:val="00151FD9"/>
    <w:rsid w:val="00152932"/>
    <w:rsid w:val="001539A0"/>
    <w:rsid w:val="00153E38"/>
    <w:rsid w:val="00153FA8"/>
    <w:rsid w:val="00154ACC"/>
    <w:rsid w:val="001556B2"/>
    <w:rsid w:val="001562CB"/>
    <w:rsid w:val="001576F5"/>
    <w:rsid w:val="00157ADD"/>
    <w:rsid w:val="00161566"/>
    <w:rsid w:val="0016313C"/>
    <w:rsid w:val="00163307"/>
    <w:rsid w:val="00164551"/>
    <w:rsid w:val="00164F87"/>
    <w:rsid w:val="00166D1D"/>
    <w:rsid w:val="00170EF7"/>
    <w:rsid w:val="00172225"/>
    <w:rsid w:val="001727E2"/>
    <w:rsid w:val="0017316E"/>
    <w:rsid w:val="00173403"/>
    <w:rsid w:val="00173684"/>
    <w:rsid w:val="00173986"/>
    <w:rsid w:val="00173A14"/>
    <w:rsid w:val="001745DA"/>
    <w:rsid w:val="00174A2C"/>
    <w:rsid w:val="00175816"/>
    <w:rsid w:val="0017601C"/>
    <w:rsid w:val="0018138B"/>
    <w:rsid w:val="001841D3"/>
    <w:rsid w:val="00185631"/>
    <w:rsid w:val="00187194"/>
    <w:rsid w:val="00193580"/>
    <w:rsid w:val="00195901"/>
    <w:rsid w:val="0019641D"/>
    <w:rsid w:val="001A01B5"/>
    <w:rsid w:val="001A22C4"/>
    <w:rsid w:val="001A26E5"/>
    <w:rsid w:val="001A31CE"/>
    <w:rsid w:val="001A4F85"/>
    <w:rsid w:val="001A569D"/>
    <w:rsid w:val="001A5924"/>
    <w:rsid w:val="001A7505"/>
    <w:rsid w:val="001B0008"/>
    <w:rsid w:val="001B2185"/>
    <w:rsid w:val="001B3CD2"/>
    <w:rsid w:val="001B4C70"/>
    <w:rsid w:val="001C0A80"/>
    <w:rsid w:val="001C2679"/>
    <w:rsid w:val="001C2D80"/>
    <w:rsid w:val="001C30D0"/>
    <w:rsid w:val="001C444A"/>
    <w:rsid w:val="001C4A9E"/>
    <w:rsid w:val="001C5159"/>
    <w:rsid w:val="001C52AA"/>
    <w:rsid w:val="001C5FC6"/>
    <w:rsid w:val="001C74FA"/>
    <w:rsid w:val="001D0A2E"/>
    <w:rsid w:val="001D0C98"/>
    <w:rsid w:val="001D3774"/>
    <w:rsid w:val="001D3F68"/>
    <w:rsid w:val="001E2205"/>
    <w:rsid w:val="001E50C2"/>
    <w:rsid w:val="001E7478"/>
    <w:rsid w:val="001F5253"/>
    <w:rsid w:val="001F544E"/>
    <w:rsid w:val="001F67D1"/>
    <w:rsid w:val="00202907"/>
    <w:rsid w:val="00203B11"/>
    <w:rsid w:val="00205496"/>
    <w:rsid w:val="002065BF"/>
    <w:rsid w:val="00211329"/>
    <w:rsid w:val="00213227"/>
    <w:rsid w:val="00213524"/>
    <w:rsid w:val="00217DDC"/>
    <w:rsid w:val="00222672"/>
    <w:rsid w:val="00222B10"/>
    <w:rsid w:val="002313E3"/>
    <w:rsid w:val="00231729"/>
    <w:rsid w:val="00233379"/>
    <w:rsid w:val="002421D3"/>
    <w:rsid w:val="00242CE2"/>
    <w:rsid w:val="00244A00"/>
    <w:rsid w:val="0024669F"/>
    <w:rsid w:val="002479A4"/>
    <w:rsid w:val="00247A78"/>
    <w:rsid w:val="00247CD8"/>
    <w:rsid w:val="00252F19"/>
    <w:rsid w:val="00263543"/>
    <w:rsid w:val="00263EA6"/>
    <w:rsid w:val="00265673"/>
    <w:rsid w:val="00270BD8"/>
    <w:rsid w:val="00270F40"/>
    <w:rsid w:val="0027462F"/>
    <w:rsid w:val="002762EF"/>
    <w:rsid w:val="00276FBE"/>
    <w:rsid w:val="00277B39"/>
    <w:rsid w:val="0028059B"/>
    <w:rsid w:val="00280F66"/>
    <w:rsid w:val="00283DA9"/>
    <w:rsid w:val="002855C6"/>
    <w:rsid w:val="0028635B"/>
    <w:rsid w:val="00293C19"/>
    <w:rsid w:val="00294BB5"/>
    <w:rsid w:val="00296915"/>
    <w:rsid w:val="002975B7"/>
    <w:rsid w:val="00297FBC"/>
    <w:rsid w:val="002A29EE"/>
    <w:rsid w:val="002A4EAF"/>
    <w:rsid w:val="002A4F68"/>
    <w:rsid w:val="002B1C67"/>
    <w:rsid w:val="002B2ADC"/>
    <w:rsid w:val="002B627E"/>
    <w:rsid w:val="002B78CC"/>
    <w:rsid w:val="002C0767"/>
    <w:rsid w:val="002C16EE"/>
    <w:rsid w:val="002C1D30"/>
    <w:rsid w:val="002C4F40"/>
    <w:rsid w:val="002C5D12"/>
    <w:rsid w:val="002C6F9C"/>
    <w:rsid w:val="002D001A"/>
    <w:rsid w:val="002D23AA"/>
    <w:rsid w:val="002D42C2"/>
    <w:rsid w:val="002D746C"/>
    <w:rsid w:val="002D7AAA"/>
    <w:rsid w:val="002E1232"/>
    <w:rsid w:val="002E402F"/>
    <w:rsid w:val="002E4480"/>
    <w:rsid w:val="002E6F13"/>
    <w:rsid w:val="002F1B37"/>
    <w:rsid w:val="002F1BB1"/>
    <w:rsid w:val="002F2B2A"/>
    <w:rsid w:val="002F3FE2"/>
    <w:rsid w:val="002F5C0B"/>
    <w:rsid w:val="002F6214"/>
    <w:rsid w:val="003015B3"/>
    <w:rsid w:val="003021B3"/>
    <w:rsid w:val="00302367"/>
    <w:rsid w:val="003044FF"/>
    <w:rsid w:val="00305C6B"/>
    <w:rsid w:val="0030662E"/>
    <w:rsid w:val="00306ACD"/>
    <w:rsid w:val="00307687"/>
    <w:rsid w:val="00307F2C"/>
    <w:rsid w:val="00310650"/>
    <w:rsid w:val="00310AF4"/>
    <w:rsid w:val="0031219F"/>
    <w:rsid w:val="00312359"/>
    <w:rsid w:val="003131D3"/>
    <w:rsid w:val="00315F10"/>
    <w:rsid w:val="003168AA"/>
    <w:rsid w:val="003262FB"/>
    <w:rsid w:val="00326419"/>
    <w:rsid w:val="00327400"/>
    <w:rsid w:val="003277F0"/>
    <w:rsid w:val="0033062B"/>
    <w:rsid w:val="00332BB8"/>
    <w:rsid w:val="0033320D"/>
    <w:rsid w:val="00333E50"/>
    <w:rsid w:val="0033463C"/>
    <w:rsid w:val="00334641"/>
    <w:rsid w:val="003352DE"/>
    <w:rsid w:val="003376B1"/>
    <w:rsid w:val="0034585A"/>
    <w:rsid w:val="00345A61"/>
    <w:rsid w:val="00345F2A"/>
    <w:rsid w:val="00346109"/>
    <w:rsid w:val="003505A2"/>
    <w:rsid w:val="003558E3"/>
    <w:rsid w:val="003624CD"/>
    <w:rsid w:val="00362916"/>
    <w:rsid w:val="00365C90"/>
    <w:rsid w:val="003661FE"/>
    <w:rsid w:val="0037100B"/>
    <w:rsid w:val="00374E57"/>
    <w:rsid w:val="00381F21"/>
    <w:rsid w:val="0038202A"/>
    <w:rsid w:val="00382E16"/>
    <w:rsid w:val="0038335F"/>
    <w:rsid w:val="0038344D"/>
    <w:rsid w:val="003848DC"/>
    <w:rsid w:val="00384AC6"/>
    <w:rsid w:val="00390701"/>
    <w:rsid w:val="00390BBD"/>
    <w:rsid w:val="00390D9A"/>
    <w:rsid w:val="00393CFB"/>
    <w:rsid w:val="00395535"/>
    <w:rsid w:val="00397312"/>
    <w:rsid w:val="003A01CE"/>
    <w:rsid w:val="003A1586"/>
    <w:rsid w:val="003A2BB8"/>
    <w:rsid w:val="003A3F4B"/>
    <w:rsid w:val="003A6A4B"/>
    <w:rsid w:val="003B119D"/>
    <w:rsid w:val="003B41F6"/>
    <w:rsid w:val="003B5084"/>
    <w:rsid w:val="003C0530"/>
    <w:rsid w:val="003C09B8"/>
    <w:rsid w:val="003C1920"/>
    <w:rsid w:val="003D09A3"/>
    <w:rsid w:val="003D12C0"/>
    <w:rsid w:val="003D2A1F"/>
    <w:rsid w:val="003D4865"/>
    <w:rsid w:val="003D4A66"/>
    <w:rsid w:val="003D7789"/>
    <w:rsid w:val="003E2751"/>
    <w:rsid w:val="003E4C81"/>
    <w:rsid w:val="003F01CE"/>
    <w:rsid w:val="003F021C"/>
    <w:rsid w:val="003F0240"/>
    <w:rsid w:val="003F0402"/>
    <w:rsid w:val="003F09D6"/>
    <w:rsid w:val="003F0BB1"/>
    <w:rsid w:val="003F2F68"/>
    <w:rsid w:val="003F302C"/>
    <w:rsid w:val="003F6B6E"/>
    <w:rsid w:val="003F71CF"/>
    <w:rsid w:val="0040112F"/>
    <w:rsid w:val="00414C3E"/>
    <w:rsid w:val="00417199"/>
    <w:rsid w:val="00417CB5"/>
    <w:rsid w:val="00420944"/>
    <w:rsid w:val="00422611"/>
    <w:rsid w:val="004232AC"/>
    <w:rsid w:val="00423FE5"/>
    <w:rsid w:val="004259DC"/>
    <w:rsid w:val="00433A19"/>
    <w:rsid w:val="00436C3F"/>
    <w:rsid w:val="0044202E"/>
    <w:rsid w:val="00442B92"/>
    <w:rsid w:val="00442F98"/>
    <w:rsid w:val="00442FA6"/>
    <w:rsid w:val="00443B32"/>
    <w:rsid w:val="004441E0"/>
    <w:rsid w:val="00445E26"/>
    <w:rsid w:val="00451AC8"/>
    <w:rsid w:val="00456A36"/>
    <w:rsid w:val="00457529"/>
    <w:rsid w:val="00460F53"/>
    <w:rsid w:val="00464DE2"/>
    <w:rsid w:val="00465CBB"/>
    <w:rsid w:val="00467687"/>
    <w:rsid w:val="004677DA"/>
    <w:rsid w:val="0047121B"/>
    <w:rsid w:val="0047139B"/>
    <w:rsid w:val="004714A5"/>
    <w:rsid w:val="004723FC"/>
    <w:rsid w:val="00483666"/>
    <w:rsid w:val="00483D86"/>
    <w:rsid w:val="00490218"/>
    <w:rsid w:val="00492524"/>
    <w:rsid w:val="0049513B"/>
    <w:rsid w:val="00496785"/>
    <w:rsid w:val="0049725C"/>
    <w:rsid w:val="00497FE4"/>
    <w:rsid w:val="004A09F2"/>
    <w:rsid w:val="004A2586"/>
    <w:rsid w:val="004A38E9"/>
    <w:rsid w:val="004A6F53"/>
    <w:rsid w:val="004A70EB"/>
    <w:rsid w:val="004B1EED"/>
    <w:rsid w:val="004B42F4"/>
    <w:rsid w:val="004B50CA"/>
    <w:rsid w:val="004B5EC4"/>
    <w:rsid w:val="004B73CB"/>
    <w:rsid w:val="004C1018"/>
    <w:rsid w:val="004C28EE"/>
    <w:rsid w:val="004C304A"/>
    <w:rsid w:val="004C3D9B"/>
    <w:rsid w:val="004C59D4"/>
    <w:rsid w:val="004D0C0C"/>
    <w:rsid w:val="004D105F"/>
    <w:rsid w:val="004D1AE4"/>
    <w:rsid w:val="004D460A"/>
    <w:rsid w:val="004D64F8"/>
    <w:rsid w:val="004D7DE0"/>
    <w:rsid w:val="004E345D"/>
    <w:rsid w:val="004E38C6"/>
    <w:rsid w:val="004E77F0"/>
    <w:rsid w:val="004E793B"/>
    <w:rsid w:val="004F0688"/>
    <w:rsid w:val="004F2C4C"/>
    <w:rsid w:val="004F2F97"/>
    <w:rsid w:val="004F4348"/>
    <w:rsid w:val="004F6C36"/>
    <w:rsid w:val="004F6C96"/>
    <w:rsid w:val="0050219F"/>
    <w:rsid w:val="00503D51"/>
    <w:rsid w:val="00504041"/>
    <w:rsid w:val="00504DEC"/>
    <w:rsid w:val="00504EE5"/>
    <w:rsid w:val="0051227F"/>
    <w:rsid w:val="00515437"/>
    <w:rsid w:val="00516042"/>
    <w:rsid w:val="00520434"/>
    <w:rsid w:val="005222E0"/>
    <w:rsid w:val="00524455"/>
    <w:rsid w:val="005271D3"/>
    <w:rsid w:val="00527BE0"/>
    <w:rsid w:val="00533DC3"/>
    <w:rsid w:val="00545CB1"/>
    <w:rsid w:val="0054624F"/>
    <w:rsid w:val="00546CA7"/>
    <w:rsid w:val="005534E1"/>
    <w:rsid w:val="00554C16"/>
    <w:rsid w:val="00555C13"/>
    <w:rsid w:val="00557788"/>
    <w:rsid w:val="005635C4"/>
    <w:rsid w:val="00564583"/>
    <w:rsid w:val="005665E9"/>
    <w:rsid w:val="005673C0"/>
    <w:rsid w:val="00567647"/>
    <w:rsid w:val="00570AB8"/>
    <w:rsid w:val="00570DF6"/>
    <w:rsid w:val="00571250"/>
    <w:rsid w:val="005717F7"/>
    <w:rsid w:val="005730F9"/>
    <w:rsid w:val="00574FB3"/>
    <w:rsid w:val="00575ACE"/>
    <w:rsid w:val="00577A5B"/>
    <w:rsid w:val="00577BBD"/>
    <w:rsid w:val="005812CE"/>
    <w:rsid w:val="00582B77"/>
    <w:rsid w:val="00585A5A"/>
    <w:rsid w:val="00586158"/>
    <w:rsid w:val="00586370"/>
    <w:rsid w:val="0058655C"/>
    <w:rsid w:val="005876F0"/>
    <w:rsid w:val="00591BE1"/>
    <w:rsid w:val="00596725"/>
    <w:rsid w:val="005978EF"/>
    <w:rsid w:val="005A055A"/>
    <w:rsid w:val="005A0EE2"/>
    <w:rsid w:val="005A2365"/>
    <w:rsid w:val="005A5E07"/>
    <w:rsid w:val="005B0CC5"/>
    <w:rsid w:val="005B19AE"/>
    <w:rsid w:val="005B258A"/>
    <w:rsid w:val="005B3140"/>
    <w:rsid w:val="005B327B"/>
    <w:rsid w:val="005B4AB4"/>
    <w:rsid w:val="005C1135"/>
    <w:rsid w:val="005C2C1A"/>
    <w:rsid w:val="005C3B4A"/>
    <w:rsid w:val="005C466D"/>
    <w:rsid w:val="005C4929"/>
    <w:rsid w:val="005C5D07"/>
    <w:rsid w:val="005C6291"/>
    <w:rsid w:val="005C70B0"/>
    <w:rsid w:val="005C7B5A"/>
    <w:rsid w:val="005D093F"/>
    <w:rsid w:val="005D10C6"/>
    <w:rsid w:val="005D184E"/>
    <w:rsid w:val="005D1FC7"/>
    <w:rsid w:val="005D3C9F"/>
    <w:rsid w:val="005E001C"/>
    <w:rsid w:val="005E1E13"/>
    <w:rsid w:val="005E319C"/>
    <w:rsid w:val="005E48DC"/>
    <w:rsid w:val="005E5D77"/>
    <w:rsid w:val="005E673B"/>
    <w:rsid w:val="005F0B35"/>
    <w:rsid w:val="005F22E0"/>
    <w:rsid w:val="005F37AD"/>
    <w:rsid w:val="005F38DC"/>
    <w:rsid w:val="005F3FF3"/>
    <w:rsid w:val="005F44EB"/>
    <w:rsid w:val="005F4845"/>
    <w:rsid w:val="005F77DF"/>
    <w:rsid w:val="00602278"/>
    <w:rsid w:val="00602B54"/>
    <w:rsid w:val="006032FA"/>
    <w:rsid w:val="0060353F"/>
    <w:rsid w:val="00605B48"/>
    <w:rsid w:val="00605BB6"/>
    <w:rsid w:val="00605C7D"/>
    <w:rsid w:val="006067A3"/>
    <w:rsid w:val="0060691F"/>
    <w:rsid w:val="006116C4"/>
    <w:rsid w:val="00612CF8"/>
    <w:rsid w:val="00613990"/>
    <w:rsid w:val="0061443C"/>
    <w:rsid w:val="0061507C"/>
    <w:rsid w:val="00615095"/>
    <w:rsid w:val="006154DD"/>
    <w:rsid w:val="00615715"/>
    <w:rsid w:val="00627253"/>
    <w:rsid w:val="00632B6F"/>
    <w:rsid w:val="00634B26"/>
    <w:rsid w:val="00636C20"/>
    <w:rsid w:val="00642162"/>
    <w:rsid w:val="006520F9"/>
    <w:rsid w:val="00652BE9"/>
    <w:rsid w:val="006537E7"/>
    <w:rsid w:val="00654A8D"/>
    <w:rsid w:val="00662288"/>
    <w:rsid w:val="006641AC"/>
    <w:rsid w:val="006658C7"/>
    <w:rsid w:val="00667D6D"/>
    <w:rsid w:val="00670550"/>
    <w:rsid w:val="00670BB7"/>
    <w:rsid w:val="00674989"/>
    <w:rsid w:val="00674D49"/>
    <w:rsid w:val="00676AA4"/>
    <w:rsid w:val="006773B9"/>
    <w:rsid w:val="0067753D"/>
    <w:rsid w:val="006775D8"/>
    <w:rsid w:val="00677EED"/>
    <w:rsid w:val="0068107E"/>
    <w:rsid w:val="006817B0"/>
    <w:rsid w:val="00682B65"/>
    <w:rsid w:val="00682FFA"/>
    <w:rsid w:val="006837BC"/>
    <w:rsid w:val="00685740"/>
    <w:rsid w:val="006862AA"/>
    <w:rsid w:val="00686553"/>
    <w:rsid w:val="00686C01"/>
    <w:rsid w:val="00693B03"/>
    <w:rsid w:val="00695384"/>
    <w:rsid w:val="00697E11"/>
    <w:rsid w:val="00697F4A"/>
    <w:rsid w:val="006A13C1"/>
    <w:rsid w:val="006A19FF"/>
    <w:rsid w:val="006A20A7"/>
    <w:rsid w:val="006A2E07"/>
    <w:rsid w:val="006A2E1A"/>
    <w:rsid w:val="006A399E"/>
    <w:rsid w:val="006A509D"/>
    <w:rsid w:val="006A5484"/>
    <w:rsid w:val="006A7E34"/>
    <w:rsid w:val="006B22E0"/>
    <w:rsid w:val="006B2583"/>
    <w:rsid w:val="006B2613"/>
    <w:rsid w:val="006B39BB"/>
    <w:rsid w:val="006B5272"/>
    <w:rsid w:val="006B654B"/>
    <w:rsid w:val="006C08AD"/>
    <w:rsid w:val="006C0B0D"/>
    <w:rsid w:val="006C1FA8"/>
    <w:rsid w:val="006C2578"/>
    <w:rsid w:val="006D0B05"/>
    <w:rsid w:val="006D24B6"/>
    <w:rsid w:val="006D252C"/>
    <w:rsid w:val="006D2D54"/>
    <w:rsid w:val="006D3213"/>
    <w:rsid w:val="006D4571"/>
    <w:rsid w:val="006D5828"/>
    <w:rsid w:val="006D5B60"/>
    <w:rsid w:val="006D6BA1"/>
    <w:rsid w:val="006D7139"/>
    <w:rsid w:val="006D7CC3"/>
    <w:rsid w:val="006D7D95"/>
    <w:rsid w:val="006E0072"/>
    <w:rsid w:val="006E041F"/>
    <w:rsid w:val="006E08F0"/>
    <w:rsid w:val="006E0953"/>
    <w:rsid w:val="006E577A"/>
    <w:rsid w:val="006F2927"/>
    <w:rsid w:val="006F5AD3"/>
    <w:rsid w:val="006F7F7C"/>
    <w:rsid w:val="007013F2"/>
    <w:rsid w:val="00702A5B"/>
    <w:rsid w:val="00705642"/>
    <w:rsid w:val="0070663F"/>
    <w:rsid w:val="0070780C"/>
    <w:rsid w:val="007078CE"/>
    <w:rsid w:val="00710480"/>
    <w:rsid w:val="007105FB"/>
    <w:rsid w:val="007123F7"/>
    <w:rsid w:val="00717D24"/>
    <w:rsid w:val="00720487"/>
    <w:rsid w:val="007238DD"/>
    <w:rsid w:val="0072595C"/>
    <w:rsid w:val="007271C4"/>
    <w:rsid w:val="00732810"/>
    <w:rsid w:val="00732CDD"/>
    <w:rsid w:val="00734279"/>
    <w:rsid w:val="00741A9E"/>
    <w:rsid w:val="00742AEF"/>
    <w:rsid w:val="007473DE"/>
    <w:rsid w:val="007520FC"/>
    <w:rsid w:val="00752431"/>
    <w:rsid w:val="007528E5"/>
    <w:rsid w:val="00755B30"/>
    <w:rsid w:val="00757ACD"/>
    <w:rsid w:val="00767B8B"/>
    <w:rsid w:val="00771250"/>
    <w:rsid w:val="00771E4D"/>
    <w:rsid w:val="00773124"/>
    <w:rsid w:val="00773708"/>
    <w:rsid w:val="00775E53"/>
    <w:rsid w:val="0077614D"/>
    <w:rsid w:val="0077670A"/>
    <w:rsid w:val="00776D88"/>
    <w:rsid w:val="00781667"/>
    <w:rsid w:val="00783D63"/>
    <w:rsid w:val="007924E4"/>
    <w:rsid w:val="00793336"/>
    <w:rsid w:val="007A1C7E"/>
    <w:rsid w:val="007A2462"/>
    <w:rsid w:val="007A33C8"/>
    <w:rsid w:val="007A7A0F"/>
    <w:rsid w:val="007B0C0C"/>
    <w:rsid w:val="007B267C"/>
    <w:rsid w:val="007B2837"/>
    <w:rsid w:val="007B556A"/>
    <w:rsid w:val="007B764E"/>
    <w:rsid w:val="007C274A"/>
    <w:rsid w:val="007C2C1D"/>
    <w:rsid w:val="007C3190"/>
    <w:rsid w:val="007C3E77"/>
    <w:rsid w:val="007C5755"/>
    <w:rsid w:val="007D145E"/>
    <w:rsid w:val="007D268A"/>
    <w:rsid w:val="007D3000"/>
    <w:rsid w:val="007D5F24"/>
    <w:rsid w:val="007D6951"/>
    <w:rsid w:val="007D74AD"/>
    <w:rsid w:val="007D78D4"/>
    <w:rsid w:val="007E0CC4"/>
    <w:rsid w:val="007E28CF"/>
    <w:rsid w:val="007E3FD9"/>
    <w:rsid w:val="007E6CC7"/>
    <w:rsid w:val="007F114E"/>
    <w:rsid w:val="007F2923"/>
    <w:rsid w:val="007F2E8D"/>
    <w:rsid w:val="007F4DD0"/>
    <w:rsid w:val="007F50EA"/>
    <w:rsid w:val="007F5997"/>
    <w:rsid w:val="007F6D28"/>
    <w:rsid w:val="008017F8"/>
    <w:rsid w:val="0080422B"/>
    <w:rsid w:val="00805177"/>
    <w:rsid w:val="008054DD"/>
    <w:rsid w:val="00807CC8"/>
    <w:rsid w:val="00810114"/>
    <w:rsid w:val="008101E1"/>
    <w:rsid w:val="00817789"/>
    <w:rsid w:val="00817FB8"/>
    <w:rsid w:val="00823CA4"/>
    <w:rsid w:val="00824883"/>
    <w:rsid w:val="00825D5A"/>
    <w:rsid w:val="008268AE"/>
    <w:rsid w:val="00827BB3"/>
    <w:rsid w:val="00827BFE"/>
    <w:rsid w:val="00827EEA"/>
    <w:rsid w:val="00830725"/>
    <w:rsid w:val="008315C0"/>
    <w:rsid w:val="0083389E"/>
    <w:rsid w:val="00833B07"/>
    <w:rsid w:val="008346F5"/>
    <w:rsid w:val="0083587D"/>
    <w:rsid w:val="00835CB6"/>
    <w:rsid w:val="00837F13"/>
    <w:rsid w:val="00840415"/>
    <w:rsid w:val="0084490B"/>
    <w:rsid w:val="00851B2B"/>
    <w:rsid w:val="008535A9"/>
    <w:rsid w:val="00854498"/>
    <w:rsid w:val="00856F8C"/>
    <w:rsid w:val="00857484"/>
    <w:rsid w:val="008610F8"/>
    <w:rsid w:val="00861FA8"/>
    <w:rsid w:val="008623F8"/>
    <w:rsid w:val="0086305C"/>
    <w:rsid w:val="00865416"/>
    <w:rsid w:val="0087095C"/>
    <w:rsid w:val="00872474"/>
    <w:rsid w:val="00872906"/>
    <w:rsid w:val="00872A3F"/>
    <w:rsid w:val="00873441"/>
    <w:rsid w:val="00875CE5"/>
    <w:rsid w:val="00877CB3"/>
    <w:rsid w:val="00880D1E"/>
    <w:rsid w:val="00882DD2"/>
    <w:rsid w:val="00885899"/>
    <w:rsid w:val="008906ED"/>
    <w:rsid w:val="008908A7"/>
    <w:rsid w:val="00890C22"/>
    <w:rsid w:val="008935F1"/>
    <w:rsid w:val="00894F4D"/>
    <w:rsid w:val="00895668"/>
    <w:rsid w:val="0089706D"/>
    <w:rsid w:val="00897670"/>
    <w:rsid w:val="00897E1F"/>
    <w:rsid w:val="008A04B3"/>
    <w:rsid w:val="008A1721"/>
    <w:rsid w:val="008A25C7"/>
    <w:rsid w:val="008A3FB4"/>
    <w:rsid w:val="008B1314"/>
    <w:rsid w:val="008B33EE"/>
    <w:rsid w:val="008B3D8D"/>
    <w:rsid w:val="008B3FC6"/>
    <w:rsid w:val="008B5283"/>
    <w:rsid w:val="008B5D48"/>
    <w:rsid w:val="008B62C3"/>
    <w:rsid w:val="008B68FA"/>
    <w:rsid w:val="008C0148"/>
    <w:rsid w:val="008C38AB"/>
    <w:rsid w:val="008C3D2B"/>
    <w:rsid w:val="008C494E"/>
    <w:rsid w:val="008C747C"/>
    <w:rsid w:val="008D166D"/>
    <w:rsid w:val="008D619B"/>
    <w:rsid w:val="008D6280"/>
    <w:rsid w:val="008D6B0F"/>
    <w:rsid w:val="008E32CA"/>
    <w:rsid w:val="008E4B37"/>
    <w:rsid w:val="008E5996"/>
    <w:rsid w:val="008E6497"/>
    <w:rsid w:val="008F0924"/>
    <w:rsid w:val="00901D1B"/>
    <w:rsid w:val="00902F2D"/>
    <w:rsid w:val="009042DE"/>
    <w:rsid w:val="00905025"/>
    <w:rsid w:val="00906A2E"/>
    <w:rsid w:val="009070AC"/>
    <w:rsid w:val="009121AC"/>
    <w:rsid w:val="00912380"/>
    <w:rsid w:val="00912D68"/>
    <w:rsid w:val="00915AE7"/>
    <w:rsid w:val="00916CCD"/>
    <w:rsid w:val="00916E4F"/>
    <w:rsid w:val="009208C4"/>
    <w:rsid w:val="00923787"/>
    <w:rsid w:val="00923A81"/>
    <w:rsid w:val="00927C13"/>
    <w:rsid w:val="00931F71"/>
    <w:rsid w:val="00935F22"/>
    <w:rsid w:val="00936181"/>
    <w:rsid w:val="00936FCC"/>
    <w:rsid w:val="00937FF9"/>
    <w:rsid w:val="00942BD2"/>
    <w:rsid w:val="0094462B"/>
    <w:rsid w:val="009458C3"/>
    <w:rsid w:val="009502E9"/>
    <w:rsid w:val="009504D7"/>
    <w:rsid w:val="00952E28"/>
    <w:rsid w:val="00953A54"/>
    <w:rsid w:val="00954E50"/>
    <w:rsid w:val="00955C06"/>
    <w:rsid w:val="00956109"/>
    <w:rsid w:val="0095633A"/>
    <w:rsid w:val="009609D6"/>
    <w:rsid w:val="009637F4"/>
    <w:rsid w:val="00964E33"/>
    <w:rsid w:val="009661DC"/>
    <w:rsid w:val="00966DBD"/>
    <w:rsid w:val="00970CF8"/>
    <w:rsid w:val="0097168F"/>
    <w:rsid w:val="009754A5"/>
    <w:rsid w:val="00977B42"/>
    <w:rsid w:val="009830F4"/>
    <w:rsid w:val="009843AB"/>
    <w:rsid w:val="0098563F"/>
    <w:rsid w:val="00985835"/>
    <w:rsid w:val="009863AF"/>
    <w:rsid w:val="0099056F"/>
    <w:rsid w:val="00990A05"/>
    <w:rsid w:val="00992EAA"/>
    <w:rsid w:val="00996351"/>
    <w:rsid w:val="00996C96"/>
    <w:rsid w:val="009A1B7A"/>
    <w:rsid w:val="009A29C2"/>
    <w:rsid w:val="009A399C"/>
    <w:rsid w:val="009A651D"/>
    <w:rsid w:val="009A6ED2"/>
    <w:rsid w:val="009B2769"/>
    <w:rsid w:val="009B33BA"/>
    <w:rsid w:val="009B34DD"/>
    <w:rsid w:val="009B359B"/>
    <w:rsid w:val="009B4CD7"/>
    <w:rsid w:val="009B6E85"/>
    <w:rsid w:val="009C368B"/>
    <w:rsid w:val="009C393C"/>
    <w:rsid w:val="009C597C"/>
    <w:rsid w:val="009C7BF1"/>
    <w:rsid w:val="009D1027"/>
    <w:rsid w:val="009D3F3A"/>
    <w:rsid w:val="009D412D"/>
    <w:rsid w:val="009E2FDE"/>
    <w:rsid w:val="009E31F8"/>
    <w:rsid w:val="009E47D7"/>
    <w:rsid w:val="009F1D89"/>
    <w:rsid w:val="009F3CFD"/>
    <w:rsid w:val="009F5054"/>
    <w:rsid w:val="009F6E3A"/>
    <w:rsid w:val="009F6F94"/>
    <w:rsid w:val="00A005E4"/>
    <w:rsid w:val="00A037C8"/>
    <w:rsid w:val="00A0499D"/>
    <w:rsid w:val="00A04BA7"/>
    <w:rsid w:val="00A11A78"/>
    <w:rsid w:val="00A13687"/>
    <w:rsid w:val="00A1460D"/>
    <w:rsid w:val="00A169FA"/>
    <w:rsid w:val="00A212CB"/>
    <w:rsid w:val="00A21B88"/>
    <w:rsid w:val="00A22DE2"/>
    <w:rsid w:val="00A2385A"/>
    <w:rsid w:val="00A25351"/>
    <w:rsid w:val="00A26E7D"/>
    <w:rsid w:val="00A26F45"/>
    <w:rsid w:val="00A30C32"/>
    <w:rsid w:val="00A3194F"/>
    <w:rsid w:val="00A329CA"/>
    <w:rsid w:val="00A32A33"/>
    <w:rsid w:val="00A334B4"/>
    <w:rsid w:val="00A34422"/>
    <w:rsid w:val="00A346E3"/>
    <w:rsid w:val="00A36AC0"/>
    <w:rsid w:val="00A37438"/>
    <w:rsid w:val="00A4073B"/>
    <w:rsid w:val="00A40DF0"/>
    <w:rsid w:val="00A40FBB"/>
    <w:rsid w:val="00A41531"/>
    <w:rsid w:val="00A44078"/>
    <w:rsid w:val="00A46F70"/>
    <w:rsid w:val="00A47A4D"/>
    <w:rsid w:val="00A502D8"/>
    <w:rsid w:val="00A572CC"/>
    <w:rsid w:val="00A60D43"/>
    <w:rsid w:val="00A611DA"/>
    <w:rsid w:val="00A6371C"/>
    <w:rsid w:val="00A63CBA"/>
    <w:rsid w:val="00A6434F"/>
    <w:rsid w:val="00A64E5D"/>
    <w:rsid w:val="00A658DE"/>
    <w:rsid w:val="00A6655B"/>
    <w:rsid w:val="00A70810"/>
    <w:rsid w:val="00A72912"/>
    <w:rsid w:val="00A734C1"/>
    <w:rsid w:val="00A73F10"/>
    <w:rsid w:val="00A77B1B"/>
    <w:rsid w:val="00A82030"/>
    <w:rsid w:val="00A829C4"/>
    <w:rsid w:val="00A83914"/>
    <w:rsid w:val="00A84F79"/>
    <w:rsid w:val="00A85767"/>
    <w:rsid w:val="00A87E80"/>
    <w:rsid w:val="00A909B7"/>
    <w:rsid w:val="00A90B84"/>
    <w:rsid w:val="00A912DC"/>
    <w:rsid w:val="00A9195E"/>
    <w:rsid w:val="00A92D86"/>
    <w:rsid w:val="00A95B9C"/>
    <w:rsid w:val="00A96174"/>
    <w:rsid w:val="00AA0E67"/>
    <w:rsid w:val="00AA10EC"/>
    <w:rsid w:val="00AA33E1"/>
    <w:rsid w:val="00AA3A3D"/>
    <w:rsid w:val="00AA4EEA"/>
    <w:rsid w:val="00AA5A30"/>
    <w:rsid w:val="00AA64E1"/>
    <w:rsid w:val="00AA7438"/>
    <w:rsid w:val="00AA77F0"/>
    <w:rsid w:val="00AB037E"/>
    <w:rsid w:val="00AB1629"/>
    <w:rsid w:val="00AB2C85"/>
    <w:rsid w:val="00AB2F12"/>
    <w:rsid w:val="00AB3A28"/>
    <w:rsid w:val="00AB679F"/>
    <w:rsid w:val="00AC1C18"/>
    <w:rsid w:val="00AC4F9E"/>
    <w:rsid w:val="00AC503E"/>
    <w:rsid w:val="00AC6057"/>
    <w:rsid w:val="00AD22DE"/>
    <w:rsid w:val="00AD72CE"/>
    <w:rsid w:val="00AD7ADE"/>
    <w:rsid w:val="00AE1AC2"/>
    <w:rsid w:val="00AE22D5"/>
    <w:rsid w:val="00AE370B"/>
    <w:rsid w:val="00AE44BF"/>
    <w:rsid w:val="00AE676E"/>
    <w:rsid w:val="00AE7444"/>
    <w:rsid w:val="00AF078F"/>
    <w:rsid w:val="00AF2CE7"/>
    <w:rsid w:val="00AF74EA"/>
    <w:rsid w:val="00AF766B"/>
    <w:rsid w:val="00B00C07"/>
    <w:rsid w:val="00B00DD2"/>
    <w:rsid w:val="00B01022"/>
    <w:rsid w:val="00B03CD0"/>
    <w:rsid w:val="00B05891"/>
    <w:rsid w:val="00B104DB"/>
    <w:rsid w:val="00B10F01"/>
    <w:rsid w:val="00B1190C"/>
    <w:rsid w:val="00B13952"/>
    <w:rsid w:val="00B13995"/>
    <w:rsid w:val="00B146CC"/>
    <w:rsid w:val="00B14AAC"/>
    <w:rsid w:val="00B15391"/>
    <w:rsid w:val="00B15BB9"/>
    <w:rsid w:val="00B16EB6"/>
    <w:rsid w:val="00B16F31"/>
    <w:rsid w:val="00B17189"/>
    <w:rsid w:val="00B175D1"/>
    <w:rsid w:val="00B17FD2"/>
    <w:rsid w:val="00B23814"/>
    <w:rsid w:val="00B23FD6"/>
    <w:rsid w:val="00B24A98"/>
    <w:rsid w:val="00B31338"/>
    <w:rsid w:val="00B319CE"/>
    <w:rsid w:val="00B32402"/>
    <w:rsid w:val="00B3422F"/>
    <w:rsid w:val="00B40220"/>
    <w:rsid w:val="00B41716"/>
    <w:rsid w:val="00B41FA8"/>
    <w:rsid w:val="00B42337"/>
    <w:rsid w:val="00B45183"/>
    <w:rsid w:val="00B46556"/>
    <w:rsid w:val="00B473DB"/>
    <w:rsid w:val="00B50E7A"/>
    <w:rsid w:val="00B51664"/>
    <w:rsid w:val="00B53D0E"/>
    <w:rsid w:val="00B55554"/>
    <w:rsid w:val="00B56154"/>
    <w:rsid w:val="00B5758F"/>
    <w:rsid w:val="00B6466B"/>
    <w:rsid w:val="00B6522E"/>
    <w:rsid w:val="00B669D2"/>
    <w:rsid w:val="00B702E6"/>
    <w:rsid w:val="00B7077C"/>
    <w:rsid w:val="00B72794"/>
    <w:rsid w:val="00B73CCD"/>
    <w:rsid w:val="00B75266"/>
    <w:rsid w:val="00B80A31"/>
    <w:rsid w:val="00B82C27"/>
    <w:rsid w:val="00B8378C"/>
    <w:rsid w:val="00B84E2E"/>
    <w:rsid w:val="00B853FE"/>
    <w:rsid w:val="00B90302"/>
    <w:rsid w:val="00B90FF0"/>
    <w:rsid w:val="00B92588"/>
    <w:rsid w:val="00B96EBD"/>
    <w:rsid w:val="00BA54FA"/>
    <w:rsid w:val="00BB0C71"/>
    <w:rsid w:val="00BB361F"/>
    <w:rsid w:val="00BB43C9"/>
    <w:rsid w:val="00BB5001"/>
    <w:rsid w:val="00BB5202"/>
    <w:rsid w:val="00BB78A9"/>
    <w:rsid w:val="00BB78B9"/>
    <w:rsid w:val="00BC1FE8"/>
    <w:rsid w:val="00BC2B2F"/>
    <w:rsid w:val="00BC4DBF"/>
    <w:rsid w:val="00BD046F"/>
    <w:rsid w:val="00BD543D"/>
    <w:rsid w:val="00BD6092"/>
    <w:rsid w:val="00BD6886"/>
    <w:rsid w:val="00BD742F"/>
    <w:rsid w:val="00BE0F2F"/>
    <w:rsid w:val="00BE1EA7"/>
    <w:rsid w:val="00BE27CF"/>
    <w:rsid w:val="00BE2FEC"/>
    <w:rsid w:val="00BE4474"/>
    <w:rsid w:val="00BE46CD"/>
    <w:rsid w:val="00BE623D"/>
    <w:rsid w:val="00BF144A"/>
    <w:rsid w:val="00BF55B2"/>
    <w:rsid w:val="00C01E3D"/>
    <w:rsid w:val="00C03099"/>
    <w:rsid w:val="00C043CF"/>
    <w:rsid w:val="00C074C6"/>
    <w:rsid w:val="00C106A2"/>
    <w:rsid w:val="00C109BA"/>
    <w:rsid w:val="00C10AC1"/>
    <w:rsid w:val="00C117B0"/>
    <w:rsid w:val="00C13F41"/>
    <w:rsid w:val="00C163C7"/>
    <w:rsid w:val="00C1664F"/>
    <w:rsid w:val="00C16A7F"/>
    <w:rsid w:val="00C16DEB"/>
    <w:rsid w:val="00C17420"/>
    <w:rsid w:val="00C201BC"/>
    <w:rsid w:val="00C22793"/>
    <w:rsid w:val="00C25B75"/>
    <w:rsid w:val="00C2754B"/>
    <w:rsid w:val="00C31108"/>
    <w:rsid w:val="00C34D7A"/>
    <w:rsid w:val="00C359B1"/>
    <w:rsid w:val="00C3624A"/>
    <w:rsid w:val="00C36BAD"/>
    <w:rsid w:val="00C36EE6"/>
    <w:rsid w:val="00C53ACC"/>
    <w:rsid w:val="00C568B9"/>
    <w:rsid w:val="00C57085"/>
    <w:rsid w:val="00C61A79"/>
    <w:rsid w:val="00C628D6"/>
    <w:rsid w:val="00C661B7"/>
    <w:rsid w:val="00C661F5"/>
    <w:rsid w:val="00C66EEF"/>
    <w:rsid w:val="00C71D0A"/>
    <w:rsid w:val="00C730E6"/>
    <w:rsid w:val="00C73811"/>
    <w:rsid w:val="00C73888"/>
    <w:rsid w:val="00C73E86"/>
    <w:rsid w:val="00C77A2D"/>
    <w:rsid w:val="00C805EC"/>
    <w:rsid w:val="00C83D1F"/>
    <w:rsid w:val="00C84B36"/>
    <w:rsid w:val="00C905DF"/>
    <w:rsid w:val="00C92E43"/>
    <w:rsid w:val="00C97808"/>
    <w:rsid w:val="00CA170E"/>
    <w:rsid w:val="00CA1A14"/>
    <w:rsid w:val="00CA6471"/>
    <w:rsid w:val="00CA6714"/>
    <w:rsid w:val="00CA6D23"/>
    <w:rsid w:val="00CB08D6"/>
    <w:rsid w:val="00CB0BCD"/>
    <w:rsid w:val="00CB5B30"/>
    <w:rsid w:val="00CB6307"/>
    <w:rsid w:val="00CB6A2E"/>
    <w:rsid w:val="00CB7581"/>
    <w:rsid w:val="00CB7F02"/>
    <w:rsid w:val="00CB7F85"/>
    <w:rsid w:val="00CC123B"/>
    <w:rsid w:val="00CC27EA"/>
    <w:rsid w:val="00CC44C4"/>
    <w:rsid w:val="00CC4ABD"/>
    <w:rsid w:val="00CD1077"/>
    <w:rsid w:val="00CD651E"/>
    <w:rsid w:val="00CE05A2"/>
    <w:rsid w:val="00CE1917"/>
    <w:rsid w:val="00CE1A62"/>
    <w:rsid w:val="00CE2794"/>
    <w:rsid w:val="00CE2A76"/>
    <w:rsid w:val="00CE7127"/>
    <w:rsid w:val="00CF0499"/>
    <w:rsid w:val="00CF1B7C"/>
    <w:rsid w:val="00CF1D56"/>
    <w:rsid w:val="00CF721D"/>
    <w:rsid w:val="00CF7437"/>
    <w:rsid w:val="00CF798A"/>
    <w:rsid w:val="00D012E0"/>
    <w:rsid w:val="00D033F0"/>
    <w:rsid w:val="00D0418D"/>
    <w:rsid w:val="00D04A12"/>
    <w:rsid w:val="00D05783"/>
    <w:rsid w:val="00D05A1B"/>
    <w:rsid w:val="00D05C78"/>
    <w:rsid w:val="00D07019"/>
    <w:rsid w:val="00D076DF"/>
    <w:rsid w:val="00D139EF"/>
    <w:rsid w:val="00D14D57"/>
    <w:rsid w:val="00D162EB"/>
    <w:rsid w:val="00D16598"/>
    <w:rsid w:val="00D2232F"/>
    <w:rsid w:val="00D22BA8"/>
    <w:rsid w:val="00D233A0"/>
    <w:rsid w:val="00D23930"/>
    <w:rsid w:val="00D2395F"/>
    <w:rsid w:val="00D24678"/>
    <w:rsid w:val="00D265CA"/>
    <w:rsid w:val="00D356B3"/>
    <w:rsid w:val="00D359E9"/>
    <w:rsid w:val="00D403BD"/>
    <w:rsid w:val="00D41B43"/>
    <w:rsid w:val="00D44BB5"/>
    <w:rsid w:val="00D47598"/>
    <w:rsid w:val="00D552F2"/>
    <w:rsid w:val="00D57330"/>
    <w:rsid w:val="00D5753D"/>
    <w:rsid w:val="00D60222"/>
    <w:rsid w:val="00D61262"/>
    <w:rsid w:val="00D62FF3"/>
    <w:rsid w:val="00D637E7"/>
    <w:rsid w:val="00D639FC"/>
    <w:rsid w:val="00D647C6"/>
    <w:rsid w:val="00D65106"/>
    <w:rsid w:val="00D717BB"/>
    <w:rsid w:val="00D71F8F"/>
    <w:rsid w:val="00D731E1"/>
    <w:rsid w:val="00D73F7F"/>
    <w:rsid w:val="00D75D28"/>
    <w:rsid w:val="00D77AB8"/>
    <w:rsid w:val="00D80836"/>
    <w:rsid w:val="00D83942"/>
    <w:rsid w:val="00D87392"/>
    <w:rsid w:val="00D8747A"/>
    <w:rsid w:val="00D876AC"/>
    <w:rsid w:val="00D87E90"/>
    <w:rsid w:val="00D90BF5"/>
    <w:rsid w:val="00D911FC"/>
    <w:rsid w:val="00D92F48"/>
    <w:rsid w:val="00D94F69"/>
    <w:rsid w:val="00D95F38"/>
    <w:rsid w:val="00DA1518"/>
    <w:rsid w:val="00DA38A3"/>
    <w:rsid w:val="00DA45D4"/>
    <w:rsid w:val="00DA4EBE"/>
    <w:rsid w:val="00DB352F"/>
    <w:rsid w:val="00DB3A62"/>
    <w:rsid w:val="00DB5401"/>
    <w:rsid w:val="00DB5452"/>
    <w:rsid w:val="00DB7295"/>
    <w:rsid w:val="00DC1246"/>
    <w:rsid w:val="00DC14AE"/>
    <w:rsid w:val="00DC2E43"/>
    <w:rsid w:val="00DC7A95"/>
    <w:rsid w:val="00DD068A"/>
    <w:rsid w:val="00DD2DF0"/>
    <w:rsid w:val="00DD40DC"/>
    <w:rsid w:val="00DD582A"/>
    <w:rsid w:val="00DE23E4"/>
    <w:rsid w:val="00DE35BA"/>
    <w:rsid w:val="00DE3619"/>
    <w:rsid w:val="00DE42A1"/>
    <w:rsid w:val="00DE6274"/>
    <w:rsid w:val="00DE65DB"/>
    <w:rsid w:val="00DE664B"/>
    <w:rsid w:val="00DE7121"/>
    <w:rsid w:val="00DF05EA"/>
    <w:rsid w:val="00DF19D4"/>
    <w:rsid w:val="00DF2D60"/>
    <w:rsid w:val="00DF362C"/>
    <w:rsid w:val="00DF3FE0"/>
    <w:rsid w:val="00DF69C3"/>
    <w:rsid w:val="00E00FE8"/>
    <w:rsid w:val="00E04DDC"/>
    <w:rsid w:val="00E05E97"/>
    <w:rsid w:val="00E10914"/>
    <w:rsid w:val="00E10E5E"/>
    <w:rsid w:val="00E11EEA"/>
    <w:rsid w:val="00E12029"/>
    <w:rsid w:val="00E12DCD"/>
    <w:rsid w:val="00E13161"/>
    <w:rsid w:val="00E14A75"/>
    <w:rsid w:val="00E2028F"/>
    <w:rsid w:val="00E20346"/>
    <w:rsid w:val="00E214FE"/>
    <w:rsid w:val="00E23C0E"/>
    <w:rsid w:val="00E23EE5"/>
    <w:rsid w:val="00E248B0"/>
    <w:rsid w:val="00E25E62"/>
    <w:rsid w:val="00E2629B"/>
    <w:rsid w:val="00E3101D"/>
    <w:rsid w:val="00E31E3A"/>
    <w:rsid w:val="00E34D56"/>
    <w:rsid w:val="00E35271"/>
    <w:rsid w:val="00E3617F"/>
    <w:rsid w:val="00E46F7B"/>
    <w:rsid w:val="00E50335"/>
    <w:rsid w:val="00E51065"/>
    <w:rsid w:val="00E52A41"/>
    <w:rsid w:val="00E5344F"/>
    <w:rsid w:val="00E55B4E"/>
    <w:rsid w:val="00E56C4E"/>
    <w:rsid w:val="00E56E1B"/>
    <w:rsid w:val="00E5739D"/>
    <w:rsid w:val="00E61FB8"/>
    <w:rsid w:val="00E62187"/>
    <w:rsid w:val="00E6260E"/>
    <w:rsid w:val="00E66C10"/>
    <w:rsid w:val="00E67DC5"/>
    <w:rsid w:val="00E70746"/>
    <w:rsid w:val="00E7182F"/>
    <w:rsid w:val="00E7432E"/>
    <w:rsid w:val="00E75349"/>
    <w:rsid w:val="00E76258"/>
    <w:rsid w:val="00E774D6"/>
    <w:rsid w:val="00E810A5"/>
    <w:rsid w:val="00E81170"/>
    <w:rsid w:val="00E82287"/>
    <w:rsid w:val="00E85696"/>
    <w:rsid w:val="00E91B25"/>
    <w:rsid w:val="00E96B06"/>
    <w:rsid w:val="00EA19F8"/>
    <w:rsid w:val="00EA1FDA"/>
    <w:rsid w:val="00EA2D3F"/>
    <w:rsid w:val="00EA2FBA"/>
    <w:rsid w:val="00EA6987"/>
    <w:rsid w:val="00EA6D4C"/>
    <w:rsid w:val="00EA76EE"/>
    <w:rsid w:val="00EB2F08"/>
    <w:rsid w:val="00EB4C90"/>
    <w:rsid w:val="00EB5B12"/>
    <w:rsid w:val="00EB703A"/>
    <w:rsid w:val="00EC4223"/>
    <w:rsid w:val="00EC7437"/>
    <w:rsid w:val="00ED1C34"/>
    <w:rsid w:val="00ED26E5"/>
    <w:rsid w:val="00ED2ADA"/>
    <w:rsid w:val="00ED4BD0"/>
    <w:rsid w:val="00ED52C4"/>
    <w:rsid w:val="00ED6BA7"/>
    <w:rsid w:val="00ED771E"/>
    <w:rsid w:val="00EE0F66"/>
    <w:rsid w:val="00EE299A"/>
    <w:rsid w:val="00EE4D5F"/>
    <w:rsid w:val="00EE606D"/>
    <w:rsid w:val="00EE6301"/>
    <w:rsid w:val="00EE6B37"/>
    <w:rsid w:val="00EF0CB3"/>
    <w:rsid w:val="00EF2289"/>
    <w:rsid w:val="00EF418A"/>
    <w:rsid w:val="00EF4234"/>
    <w:rsid w:val="00EF43ED"/>
    <w:rsid w:val="00EF6588"/>
    <w:rsid w:val="00EF6D6B"/>
    <w:rsid w:val="00EF7B97"/>
    <w:rsid w:val="00EF7F24"/>
    <w:rsid w:val="00F008C7"/>
    <w:rsid w:val="00F017B4"/>
    <w:rsid w:val="00F02A91"/>
    <w:rsid w:val="00F0362D"/>
    <w:rsid w:val="00F04428"/>
    <w:rsid w:val="00F06267"/>
    <w:rsid w:val="00F06898"/>
    <w:rsid w:val="00F07028"/>
    <w:rsid w:val="00F10CCF"/>
    <w:rsid w:val="00F13AA9"/>
    <w:rsid w:val="00F13C37"/>
    <w:rsid w:val="00F149E7"/>
    <w:rsid w:val="00F14E83"/>
    <w:rsid w:val="00F15BA3"/>
    <w:rsid w:val="00F167B1"/>
    <w:rsid w:val="00F17804"/>
    <w:rsid w:val="00F17E55"/>
    <w:rsid w:val="00F21AE2"/>
    <w:rsid w:val="00F21EB2"/>
    <w:rsid w:val="00F226F6"/>
    <w:rsid w:val="00F22720"/>
    <w:rsid w:val="00F23883"/>
    <w:rsid w:val="00F23D30"/>
    <w:rsid w:val="00F25AE7"/>
    <w:rsid w:val="00F303ED"/>
    <w:rsid w:val="00F321F0"/>
    <w:rsid w:val="00F342C0"/>
    <w:rsid w:val="00F3460B"/>
    <w:rsid w:val="00F35058"/>
    <w:rsid w:val="00F37FA2"/>
    <w:rsid w:val="00F41965"/>
    <w:rsid w:val="00F44116"/>
    <w:rsid w:val="00F44251"/>
    <w:rsid w:val="00F4495C"/>
    <w:rsid w:val="00F46BA1"/>
    <w:rsid w:val="00F46CA5"/>
    <w:rsid w:val="00F5179F"/>
    <w:rsid w:val="00F52F44"/>
    <w:rsid w:val="00F5518E"/>
    <w:rsid w:val="00F552AF"/>
    <w:rsid w:val="00F55891"/>
    <w:rsid w:val="00F55A70"/>
    <w:rsid w:val="00F61931"/>
    <w:rsid w:val="00F6420D"/>
    <w:rsid w:val="00F65E79"/>
    <w:rsid w:val="00F672B3"/>
    <w:rsid w:val="00F74268"/>
    <w:rsid w:val="00F77E35"/>
    <w:rsid w:val="00F81226"/>
    <w:rsid w:val="00F8600F"/>
    <w:rsid w:val="00F91AE1"/>
    <w:rsid w:val="00F937B0"/>
    <w:rsid w:val="00F9698F"/>
    <w:rsid w:val="00F9736D"/>
    <w:rsid w:val="00F97DC5"/>
    <w:rsid w:val="00FA0752"/>
    <w:rsid w:val="00FA1700"/>
    <w:rsid w:val="00FA580C"/>
    <w:rsid w:val="00FA5E55"/>
    <w:rsid w:val="00FA610D"/>
    <w:rsid w:val="00FA72FD"/>
    <w:rsid w:val="00FB09C8"/>
    <w:rsid w:val="00FB0D83"/>
    <w:rsid w:val="00FB1979"/>
    <w:rsid w:val="00FB2E30"/>
    <w:rsid w:val="00FB4D43"/>
    <w:rsid w:val="00FC0A18"/>
    <w:rsid w:val="00FC376C"/>
    <w:rsid w:val="00FC58FD"/>
    <w:rsid w:val="00FC60B4"/>
    <w:rsid w:val="00FD324E"/>
    <w:rsid w:val="00FD5DB0"/>
    <w:rsid w:val="00FE04EF"/>
    <w:rsid w:val="00FE0E08"/>
    <w:rsid w:val="00FE13DF"/>
    <w:rsid w:val="00FE1FBE"/>
    <w:rsid w:val="00FE4826"/>
    <w:rsid w:val="00FE543C"/>
    <w:rsid w:val="00FF03CA"/>
    <w:rsid w:val="00FF05F3"/>
    <w:rsid w:val="00FF0B6F"/>
    <w:rsid w:val="00FF0DA9"/>
    <w:rsid w:val="00FF33DF"/>
    <w:rsid w:val="00FF5D4B"/>
    <w:rsid w:val="00FF645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50F1B5"/>
  <w15:docId w15:val="{DE6EF4B6-644A-4B0E-88E6-7975C5EC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38"/>
    <w:pPr>
      <w:spacing w:before="120" w:after="120"/>
    </w:pPr>
    <w:rPr>
      <w:sz w:val="24"/>
      <w:szCs w:val="24"/>
    </w:rPr>
  </w:style>
  <w:style w:type="paragraph" w:styleId="Heading1">
    <w:name w:val="heading 1"/>
    <w:next w:val="Normal"/>
    <w:link w:val="Heading1Char"/>
    <w:autoRedefine/>
    <w:qFormat/>
    <w:rsid w:val="00953A54"/>
    <w:pPr>
      <w:keepNext/>
      <w:pageBreakBefore/>
      <w:numPr>
        <w:numId w:val="7"/>
      </w:numPr>
      <w:tabs>
        <w:tab w:val="left" w:pos="540"/>
      </w:tabs>
      <w:spacing w:after="280"/>
      <w:outlineLvl w:val="0"/>
    </w:pPr>
    <w:rPr>
      <w:rFonts w:ascii="Arial Narrow" w:hAnsi="Arial Narrow"/>
      <w:b/>
      <w:kern w:val="28"/>
      <w:sz w:val="36"/>
    </w:rPr>
  </w:style>
  <w:style w:type="paragraph" w:styleId="Heading2">
    <w:name w:val="heading 2"/>
    <w:next w:val="Normal"/>
    <w:link w:val="Heading2Char"/>
    <w:qFormat/>
    <w:pPr>
      <w:keepNext/>
      <w:numPr>
        <w:ilvl w:val="1"/>
        <w:numId w:val="7"/>
      </w:numPr>
      <w:spacing w:before="300" w:after="100"/>
      <w:outlineLvl w:val="1"/>
    </w:pPr>
    <w:rPr>
      <w:rFonts w:ascii="Arial Narrow" w:hAnsi="Arial Narrow"/>
      <w:b/>
      <w:sz w:val="32"/>
    </w:rPr>
  </w:style>
  <w:style w:type="paragraph" w:styleId="Heading3">
    <w:name w:val="heading 3"/>
    <w:next w:val="Normal"/>
    <w:link w:val="Heading3Char"/>
    <w:qFormat/>
    <w:pPr>
      <w:keepNext/>
      <w:numPr>
        <w:ilvl w:val="2"/>
        <w:numId w:val="7"/>
      </w:numPr>
      <w:tabs>
        <w:tab w:val="left" w:pos="900"/>
      </w:tabs>
      <w:spacing w:before="240" w:after="120"/>
      <w:outlineLvl w:val="2"/>
    </w:pPr>
    <w:rPr>
      <w:rFonts w:ascii="Arial Narrow" w:hAnsi="Arial Narrow"/>
      <w:b/>
      <w:sz w:val="28"/>
    </w:rPr>
  </w:style>
  <w:style w:type="paragraph" w:styleId="Heading4">
    <w:name w:val="heading 4"/>
    <w:next w:val="Normal"/>
    <w:link w:val="Heading4Char"/>
    <w:qFormat/>
    <w:pPr>
      <w:keepNext/>
      <w:numPr>
        <w:ilvl w:val="3"/>
        <w:numId w:val="7"/>
      </w:numPr>
      <w:spacing w:before="240" w:after="120"/>
      <w:outlineLvl w:val="3"/>
    </w:pPr>
    <w:rPr>
      <w:rFonts w:ascii="Arial Narrow" w:hAnsi="Arial Narrow"/>
      <w:b/>
      <w:sz w:val="26"/>
    </w:rPr>
  </w:style>
  <w:style w:type="paragraph" w:styleId="Heading5">
    <w:name w:val="heading 5"/>
    <w:next w:val="Normal"/>
    <w:link w:val="Heading5Char"/>
    <w:qFormat/>
    <w:pPr>
      <w:keepNext/>
      <w:numPr>
        <w:ilvl w:val="4"/>
        <w:numId w:val="7"/>
      </w:numPr>
      <w:spacing w:before="240" w:after="120"/>
      <w:outlineLvl w:val="4"/>
    </w:pPr>
    <w:rPr>
      <w:rFonts w:ascii="Arial Narrow" w:hAnsi="Arial Narrow"/>
      <w:i/>
      <w:sz w:val="26"/>
    </w:rPr>
  </w:style>
  <w:style w:type="paragraph" w:styleId="Heading6">
    <w:name w:val="heading 6"/>
    <w:next w:val="Normal"/>
    <w:link w:val="Heading6Char"/>
    <w:qFormat/>
    <w:pPr>
      <w:keepNext/>
      <w:numPr>
        <w:ilvl w:val="5"/>
        <w:numId w:val="7"/>
      </w:numPr>
      <w:spacing w:before="120" w:after="120"/>
      <w:outlineLvl w:val="5"/>
    </w:pPr>
    <w:rPr>
      <w:rFonts w:ascii="Arial Narrow" w:hAnsi="Arial Narrow"/>
      <w:i/>
      <w:sz w:val="26"/>
    </w:rPr>
  </w:style>
  <w:style w:type="paragraph" w:styleId="Heading7">
    <w:name w:val="heading 7"/>
    <w:basedOn w:val="Normal"/>
    <w:next w:val="Normal"/>
    <w:link w:val="Heading7Char"/>
    <w:qFormat/>
    <w:pPr>
      <w:numPr>
        <w:ilvl w:val="6"/>
        <w:numId w:val="7"/>
      </w:numPr>
      <w:spacing w:before="240" w:after="60"/>
      <w:outlineLvl w:val="6"/>
    </w:pPr>
    <w:rPr>
      <w:rFonts w:ascii="Arial Narrow" w:hAnsi="Arial Narrow"/>
      <w:i/>
    </w:rPr>
  </w:style>
  <w:style w:type="paragraph" w:styleId="Heading8">
    <w:name w:val="heading 8"/>
    <w:basedOn w:val="Normal"/>
    <w:next w:val="Normal"/>
    <w:link w:val="Heading8Char"/>
    <w:qFormat/>
    <w:pPr>
      <w:keepNext/>
      <w:spacing w:before="0" w:after="0"/>
      <w:jc w:val="center"/>
      <w:outlineLvl w:val="7"/>
    </w:pPr>
    <w:rPr>
      <w:rFonts w:ascii="Garamond" w:hAnsi="Garamond"/>
      <w:b/>
      <w:snapToGrid w:val="0"/>
      <w:sz w:val="36"/>
    </w:rPr>
  </w:style>
  <w:style w:type="paragraph" w:styleId="Heading9">
    <w:name w:val="heading 9"/>
    <w:basedOn w:val="Normal"/>
    <w:next w:val="Normal"/>
    <w:link w:val="Heading9Char"/>
    <w:qFormat/>
    <w:pPr>
      <w:keepNext/>
      <w:spacing w:before="0" w:after="0"/>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rsid w:val="00B41FA8"/>
    <w:pPr>
      <w:keepNext/>
      <w:pageBreakBefore/>
      <w:numPr>
        <w:numId w:val="25"/>
      </w:numPr>
      <w:tabs>
        <w:tab w:val="num" w:pos="360"/>
      </w:tabs>
      <w:spacing w:after="360" w:line="400" w:lineRule="exact"/>
      <w:jc w:val="center"/>
    </w:pPr>
    <w:rPr>
      <w:rFonts w:ascii="Arial Narrow" w:hAnsi="Arial Narrow"/>
      <w:b/>
      <w:sz w:val="36"/>
    </w:rPr>
  </w:style>
  <w:style w:type="paragraph" w:customStyle="1" w:styleId="AppHeading2">
    <w:name w:val="AppHeading 2"/>
    <w:next w:val="Normal"/>
    <w:qFormat/>
    <w:pPr>
      <w:keepNext/>
      <w:numPr>
        <w:ilvl w:val="1"/>
        <w:numId w:val="25"/>
      </w:numPr>
      <w:tabs>
        <w:tab w:val="clear" w:pos="720"/>
        <w:tab w:val="num" w:pos="360"/>
      </w:tabs>
      <w:spacing w:before="300" w:after="100"/>
      <w:ind w:left="0" w:firstLine="0"/>
    </w:pPr>
    <w:rPr>
      <w:rFonts w:ascii="Arial Narrow" w:hAnsi="Arial Narrow"/>
      <w:b/>
      <w:sz w:val="32"/>
    </w:rPr>
  </w:style>
  <w:style w:type="paragraph" w:customStyle="1" w:styleId="AppHeading3">
    <w:name w:val="AppHeading 3"/>
    <w:next w:val="Normal"/>
    <w:qFormat/>
    <w:pPr>
      <w:keepNext/>
      <w:numPr>
        <w:ilvl w:val="2"/>
        <w:numId w:val="25"/>
      </w:numPr>
      <w:spacing w:before="240" w:after="80"/>
    </w:pPr>
    <w:rPr>
      <w:rFonts w:ascii="Arial Narrow" w:hAnsi="Arial Narrow"/>
      <w:b/>
      <w:sz w:val="28"/>
    </w:rPr>
  </w:style>
  <w:style w:type="paragraph" w:customStyle="1" w:styleId="AppHeading4">
    <w:name w:val="AppHeading 4"/>
    <w:next w:val="Normal"/>
    <w:qFormat/>
    <w:pPr>
      <w:numPr>
        <w:ilvl w:val="3"/>
        <w:numId w:val="25"/>
      </w:numPr>
      <w:spacing w:before="240" w:after="12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2"/>
      </w:numPr>
      <w:tabs>
        <w:tab w:val="clear" w:pos="720"/>
      </w:tabs>
      <w:spacing w:before="80" w:after="80"/>
    </w:pPr>
    <w:rPr>
      <w:sz w:val="24"/>
    </w:rPr>
  </w:style>
  <w:style w:type="paragraph" w:customStyle="1" w:styleId="BulletListMultipleLast">
    <w:name w:val="Bullet List Multiple Last"/>
    <w:next w:val="Normal"/>
    <w:qFormat/>
    <w:pPr>
      <w:numPr>
        <w:numId w:val="3"/>
      </w:numPr>
      <w:spacing w:before="80" w:after="280"/>
    </w:pPr>
    <w:rPr>
      <w:sz w:val="24"/>
    </w:rPr>
  </w:style>
  <w:style w:type="paragraph" w:customStyle="1" w:styleId="BulletListSingle">
    <w:name w:val="Bullet List Single"/>
    <w:qFormat/>
    <w:pPr>
      <w:numPr>
        <w:numId w:val="4"/>
      </w:numPr>
      <w:spacing w:before="60"/>
    </w:pPr>
    <w:rPr>
      <w:sz w:val="24"/>
    </w:rPr>
  </w:style>
  <w:style w:type="paragraph" w:customStyle="1" w:styleId="BulletListSingleLast">
    <w:name w:val="Bullet List Single Last"/>
    <w:next w:val="Normal"/>
    <w:qFormat/>
    <w:pPr>
      <w:numPr>
        <w:numId w:val="5"/>
      </w:numPr>
      <w:tabs>
        <w:tab w:val="clear" w:pos="720"/>
      </w:tabs>
      <w:spacing w:before="60" w:after="280"/>
    </w:pPr>
    <w:rPr>
      <w:sz w:val="24"/>
    </w:rPr>
  </w:style>
  <w:style w:type="paragraph" w:customStyle="1" w:styleId="Classification">
    <w:name w:val="Classification"/>
    <w:rPr>
      <w:rFonts w:ascii="Arial Narrow" w:hAnsi="Arial Narrow"/>
      <w:b/>
      <w:color w:val="C00000"/>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1"/>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6"/>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pPr>
      <w:keepNext/>
      <w:numPr>
        <w:ilvl w:val="1"/>
        <w:numId w:val="6"/>
      </w:numPr>
      <w:spacing w:before="300" w:after="100"/>
      <w:outlineLvl w:val="1"/>
    </w:pPr>
    <w:rPr>
      <w:rFonts w:ascii="Arial Narrow" w:hAnsi="Arial Narrow"/>
      <w:b/>
      <w:color w:val="1F497D" w:themeColor="text2"/>
      <w:sz w:val="32"/>
    </w:rPr>
  </w:style>
  <w:style w:type="paragraph" w:customStyle="1" w:styleId="ESHeading3">
    <w:name w:val="ESHeading 3"/>
    <w:next w:val="Normal"/>
    <w:qFormat/>
    <w:pPr>
      <w:keepNext/>
      <w:numPr>
        <w:ilvl w:val="2"/>
        <w:numId w:val="6"/>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pPr>
      <w:keepNext/>
      <w:numPr>
        <w:ilvl w:val="3"/>
        <w:numId w:val="6"/>
      </w:numPr>
      <w:spacing w:before="120" w:after="120"/>
      <w:outlineLvl w:val="3"/>
    </w:pPr>
    <w:rPr>
      <w:rFonts w:ascii="Arial Narrow" w:hAnsi="Arial Narrow"/>
      <w:b/>
      <w:color w:val="1F497D" w:themeColor="text2"/>
      <w:sz w:val="26"/>
      <w:szCs w:val="26"/>
    </w:rPr>
  </w:style>
  <w:style w:type="paragraph" w:customStyle="1" w:styleId="ESHeading5">
    <w:name w:val="ESHeading 5"/>
    <w:pPr>
      <w:numPr>
        <w:ilvl w:val="4"/>
        <w:numId w:val="6"/>
      </w:numPr>
      <w:tabs>
        <w:tab w:val="num" w:pos="360"/>
      </w:tabs>
      <w:spacing w:before="120"/>
    </w:pPr>
    <w:rPr>
      <w:rFonts w:ascii="Arial Narrow" w:hAnsi="Arial Narrow"/>
      <w:i/>
      <w:sz w:val="26"/>
    </w:rPr>
  </w:style>
  <w:style w:type="paragraph" w:customStyle="1" w:styleId="ESHeading6">
    <w:name w:val="ESHeading 6"/>
    <w:pPr>
      <w:keepNext/>
      <w:numPr>
        <w:ilvl w:val="5"/>
        <w:numId w:val="6"/>
      </w:numPr>
      <w:tabs>
        <w:tab w:val="num" w:pos="360"/>
      </w:tabs>
      <w:spacing w:before="120"/>
    </w:pPr>
    <w:rPr>
      <w:rFonts w:ascii="Arial Narrow" w:hAnsi="Arial Narrow"/>
      <w:sz w:val="24"/>
    </w:rPr>
  </w:style>
  <w:style w:type="paragraph" w:customStyle="1" w:styleId="ESHeading7">
    <w:name w:val="ESHeading 7"/>
    <w:pPr>
      <w:numPr>
        <w:ilvl w:val="6"/>
        <w:numId w:val="6"/>
      </w:numPr>
      <w:tabs>
        <w:tab w:val="num" w:pos="360"/>
      </w:tabs>
    </w:pPr>
    <w:rPr>
      <w:rFonts w:ascii="Arial Narrow" w:hAnsi="Arial Narrow"/>
      <w:sz w:val="24"/>
    </w:rPr>
  </w:style>
  <w:style w:type="paragraph" w:customStyle="1" w:styleId="Figure">
    <w:name w:val="Figure"/>
    <w:next w:val="FigureCaption"/>
    <w:link w:val="FigureChar"/>
    <w:qFormat/>
    <w:rsid w:val="0001187C"/>
    <w:pPr>
      <w:keepNext/>
      <w:keepLines/>
      <w:spacing w:before="120" w:after="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spacing w:before="0" w:after="0"/>
      <w:ind w:left="360"/>
    </w:pPr>
    <w:rPr>
      <w:rFonts w:ascii="Arial" w:hAnsi="Arial"/>
      <w:b/>
      <w:sz w:val="22"/>
    </w:rPr>
  </w:style>
  <w:style w:type="paragraph" w:styleId="Footer">
    <w:name w:val="footer"/>
    <w:link w:val="FooterChar"/>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uiPriority w:val="99"/>
    <w:rPr>
      <w:vertAlign w:val="superscript"/>
    </w:rPr>
  </w:style>
  <w:style w:type="paragraph" w:styleId="FootnoteText">
    <w:name w:val="footnote text"/>
    <w:link w:val="FootnoteTextChar"/>
    <w:uiPriority w:val="99"/>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link w:val="HeaderChar"/>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9"/>
      </w:numPr>
      <w:spacing w:before="0" w:after="0"/>
    </w:pPr>
  </w:style>
  <w:style w:type="paragraph" w:customStyle="1" w:styleId="TableBullet">
    <w:name w:val="TableBullet"/>
    <w:qFormat/>
    <w:pPr>
      <w:numPr>
        <w:numId w:val="10"/>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rsid w:val="00BE0F2F"/>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uiPriority w:val="39"/>
    <w:pPr>
      <w:ind w:left="720"/>
    </w:pPr>
    <w:rPr>
      <w:sz w:val="24"/>
    </w:rPr>
  </w:style>
  <w:style w:type="paragraph" w:styleId="TOC5">
    <w:name w:val="toc 5"/>
    <w:next w:val="Normal"/>
    <w:uiPriority w:val="39"/>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uiPriority w:val="39"/>
    <w:pPr>
      <w:ind w:left="1200"/>
    </w:pPr>
    <w:rPr>
      <w:rFonts w:ascii="Arial" w:hAnsi="Arial"/>
      <w:sz w:val="24"/>
    </w:rPr>
  </w:style>
  <w:style w:type="paragraph" w:styleId="TOC7">
    <w:name w:val="toc 7"/>
    <w:next w:val="Normal"/>
    <w:uiPriority w:val="39"/>
    <w:pPr>
      <w:ind w:left="1440"/>
    </w:pPr>
    <w:rPr>
      <w:rFonts w:ascii="Arial" w:hAnsi="Arial"/>
      <w:sz w:val="24"/>
    </w:rPr>
  </w:style>
  <w:style w:type="paragraph" w:styleId="TOC8">
    <w:name w:val="toc 8"/>
    <w:next w:val="Normal"/>
    <w:uiPriority w:val="39"/>
    <w:pPr>
      <w:ind w:left="1680"/>
    </w:pPr>
    <w:rPr>
      <w:rFonts w:ascii="Arial" w:hAnsi="Arial"/>
      <w:sz w:val="24"/>
    </w:rPr>
  </w:style>
  <w:style w:type="paragraph" w:styleId="TOC9">
    <w:name w:val="toc 9"/>
    <w:next w:val="Normal"/>
    <w:uiPriority w:val="39"/>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8"/>
      </w:numPr>
      <w:spacing w:before="0" w:after="0"/>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2"/>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link w:val="BalloonTextChar"/>
    <w:semiHidden/>
    <w:pPr>
      <w:spacing w:before="0" w:after="0"/>
    </w:pPr>
    <w:rPr>
      <w:rFonts w:ascii="Tahoma" w:hAnsi="Tahoma" w:cs="Tahoma"/>
      <w:sz w:val="16"/>
      <w:szCs w:val="16"/>
    </w:rPr>
  </w:style>
  <w:style w:type="paragraph" w:styleId="Caption">
    <w:name w:val="caption"/>
    <w:basedOn w:val="Normal"/>
    <w:next w:val="Normal"/>
    <w:qFormat/>
    <w:pPr>
      <w:spacing w:before="0" w:after="0"/>
    </w:pPr>
    <w:rPr>
      <w:b/>
      <w:bCs/>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qFormat/>
    <w:pPr>
      <w:spacing w:before="0" w:after="0"/>
    </w:pPr>
    <w:rPr>
      <w:sz w:val="20"/>
    </w:rPr>
  </w:style>
  <w:style w:type="paragraph" w:styleId="CommentSubject">
    <w:name w:val="annotation subject"/>
    <w:basedOn w:val="CommentText"/>
    <w:next w:val="CommentText"/>
    <w:link w:val="CommentSubjectChar"/>
    <w:rPr>
      <w:b/>
      <w:bCs/>
    </w:rPr>
  </w:style>
  <w:style w:type="paragraph" w:styleId="DocumentMap">
    <w:name w:val="Document Map"/>
    <w:basedOn w:val="Normal"/>
    <w:link w:val="DocumentMapChar"/>
    <w:pPr>
      <w:shd w:val="clear" w:color="auto" w:fill="000080"/>
      <w:spacing w:before="0" w:after="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after="0"/>
    </w:pPr>
    <w:rPr>
      <w:sz w:val="20"/>
    </w:rPr>
  </w:style>
  <w:style w:type="paragraph" w:styleId="Index1">
    <w:name w:val="index 1"/>
    <w:basedOn w:val="Normal"/>
    <w:next w:val="Normal"/>
    <w:autoRedefine/>
    <w:pPr>
      <w:spacing w:before="0" w:after="0"/>
      <w:ind w:left="240" w:hanging="240"/>
    </w:pPr>
  </w:style>
  <w:style w:type="paragraph" w:styleId="Index2">
    <w:name w:val="index 2"/>
    <w:basedOn w:val="Normal"/>
    <w:next w:val="Normal"/>
    <w:autoRedefine/>
    <w:pPr>
      <w:spacing w:before="0" w:after="0"/>
      <w:ind w:left="480" w:hanging="240"/>
    </w:pPr>
  </w:style>
  <w:style w:type="paragraph" w:styleId="Index3">
    <w:name w:val="index 3"/>
    <w:basedOn w:val="Normal"/>
    <w:next w:val="Normal"/>
    <w:autoRedefine/>
    <w:pPr>
      <w:spacing w:before="0" w:after="0"/>
      <w:ind w:left="720" w:hanging="240"/>
    </w:pPr>
  </w:style>
  <w:style w:type="paragraph" w:styleId="Index4">
    <w:name w:val="index 4"/>
    <w:basedOn w:val="Normal"/>
    <w:next w:val="Normal"/>
    <w:autoRedefine/>
    <w:pPr>
      <w:spacing w:before="0" w:after="0"/>
      <w:ind w:left="960" w:hanging="240"/>
    </w:pPr>
  </w:style>
  <w:style w:type="paragraph" w:styleId="Index5">
    <w:name w:val="index 5"/>
    <w:basedOn w:val="Normal"/>
    <w:next w:val="Normal"/>
    <w:autoRedefine/>
    <w:pPr>
      <w:spacing w:before="0" w:after="0"/>
      <w:ind w:left="1200" w:hanging="240"/>
    </w:pPr>
  </w:style>
  <w:style w:type="paragraph" w:styleId="Index6">
    <w:name w:val="index 6"/>
    <w:basedOn w:val="Normal"/>
    <w:next w:val="Normal"/>
    <w:autoRedefine/>
    <w:pPr>
      <w:spacing w:before="0" w:after="0"/>
      <w:ind w:left="1440" w:hanging="240"/>
    </w:pPr>
  </w:style>
  <w:style w:type="paragraph" w:styleId="Index7">
    <w:name w:val="index 7"/>
    <w:basedOn w:val="Normal"/>
    <w:next w:val="Normal"/>
    <w:autoRedefine/>
    <w:pPr>
      <w:spacing w:before="0" w:after="0"/>
      <w:ind w:left="1680" w:hanging="240"/>
    </w:pPr>
  </w:style>
  <w:style w:type="paragraph" w:styleId="Index8">
    <w:name w:val="index 8"/>
    <w:basedOn w:val="Normal"/>
    <w:next w:val="Normal"/>
    <w:autoRedefine/>
    <w:pPr>
      <w:spacing w:before="0" w:after="0"/>
      <w:ind w:left="1920" w:hanging="240"/>
    </w:pPr>
  </w:style>
  <w:style w:type="paragraph" w:styleId="Index9">
    <w:name w:val="index 9"/>
    <w:basedOn w:val="Normal"/>
    <w:next w:val="Normal"/>
    <w:autoRedefine/>
    <w:pPr>
      <w:spacing w:before="0" w:after="0"/>
      <w:ind w:left="2160" w:hanging="240"/>
    </w:pPr>
  </w:style>
  <w:style w:type="paragraph" w:styleId="IndexHeading">
    <w:name w:val="index heading"/>
    <w:basedOn w:val="Normal"/>
    <w:next w:val="Index1"/>
    <w:pPr>
      <w:spacing w:before="0" w:after="0"/>
    </w:pPr>
    <w:rPr>
      <w:rFonts w:ascii="Arial" w:hAnsi="Arial" w:cs="Arial"/>
      <w:b/>
      <w:bCs/>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spacing w:before="0" w:after="0"/>
      <w:ind w:left="240" w:hanging="240"/>
    </w:pPr>
  </w:style>
  <w:style w:type="paragraph" w:styleId="TableofFigures">
    <w:name w:val="table of figures"/>
    <w:basedOn w:val="Normal"/>
    <w:next w:val="Normal"/>
    <w:uiPriority w:val="99"/>
    <w:pPr>
      <w:spacing w:before="0" w:after="0"/>
    </w:pPr>
  </w:style>
  <w:style w:type="paragraph" w:styleId="TOAHeading">
    <w:name w:val="toa heading"/>
    <w:basedOn w:val="Normal"/>
    <w:next w:val="Normal"/>
    <w:pPr>
      <w:spacing w:before="0" w:after="0"/>
    </w:pPr>
    <w:rPr>
      <w:rFonts w:ascii="Arial" w:hAnsi="Arial" w:cs="Arial"/>
      <w:b/>
      <w:bCs/>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3"/>
      </w:numPr>
      <w:spacing w:before="0" w:after="0"/>
    </w:pPr>
  </w:style>
  <w:style w:type="paragraph" w:customStyle="1" w:styleId="NumberedListLast">
    <w:name w:val="Numbered List Last"/>
    <w:basedOn w:val="NumberedList"/>
    <w:qFormat/>
    <w:pPr>
      <w:spacing w:after="280"/>
    </w:pPr>
  </w:style>
  <w:style w:type="paragraph" w:customStyle="1" w:styleId="Instruction">
    <w:name w:val="Instruction"/>
    <w:basedOn w:val="Normal"/>
    <w:pPr>
      <w:spacing w:before="0" w:after="0"/>
    </w:pPr>
    <w:rPr>
      <w:color w:val="0070C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4"/>
      </w:numPr>
      <w:spacing w:before="60" w:after="60"/>
    </w:pPr>
    <w:rPr>
      <w:rFonts w:eastAsiaTheme="majorEastAsia" w:cs="Arial"/>
      <w:bCs/>
      <w:kern w:val="32"/>
      <w:sz w:val="24"/>
      <w:szCs w:val="22"/>
    </w:rPr>
  </w:style>
  <w:style w:type="paragraph" w:customStyle="1" w:styleId="TableVerticalHeading1">
    <w:name w:val="TableVerticalHeading1"/>
    <w:aliases w:val="tvh1"/>
    <w:pPr>
      <w:widowControl w:val="0"/>
      <w:jc w:val="center"/>
    </w:pPr>
    <w:rPr>
      <w:rFonts w:ascii="Arial" w:hAnsi="Arial"/>
      <w:b/>
    </w:rPr>
  </w:style>
  <w:style w:type="paragraph" w:customStyle="1" w:styleId="CoverFooter">
    <w:name w:val="CoverFooter"/>
    <w:basedOn w:val="Normal"/>
    <w:qFormat/>
    <w:pPr>
      <w:spacing w:before="0" w:after="0"/>
    </w:pPr>
  </w:style>
  <w:style w:type="paragraph" w:customStyle="1" w:styleId="NormalInstructions">
    <w:name w:val="Normal Instructions"/>
    <w:basedOn w:val="Normal"/>
    <w:link w:val="NormalInstructionsChar"/>
    <w:qFormat/>
    <w:pPr>
      <w:spacing w:before="0" w:after="0"/>
    </w:pPr>
    <w:rPr>
      <w:color w:val="0070C0"/>
    </w:rPr>
  </w:style>
  <w:style w:type="character" w:customStyle="1" w:styleId="NormalInstructionsChar">
    <w:name w:val="Normal Instructions Char"/>
    <w:basedOn w:val="DefaultParagraphFont"/>
    <w:link w:val="NormalInstructions"/>
    <w:rPr>
      <w:color w:val="0070C0"/>
      <w:sz w:val="24"/>
    </w:rPr>
  </w:style>
  <w:style w:type="character" w:customStyle="1" w:styleId="FootnoteTextChar">
    <w:name w:val="Footnote Text Char"/>
    <w:basedOn w:val="DefaultParagraphFont"/>
    <w:link w:val="FootnoteText"/>
    <w:uiPriority w:val="99"/>
    <w:rsid w:val="00451AC8"/>
    <w:rPr>
      <w:rFonts w:ascii="Arial" w:hAnsi="Arial"/>
      <w:sz w:val="18"/>
    </w:rPr>
  </w:style>
  <w:style w:type="character" w:customStyle="1" w:styleId="CommentTextChar">
    <w:name w:val="Comment Text Char"/>
    <w:basedOn w:val="DefaultParagraphFont"/>
    <w:link w:val="CommentText"/>
    <w:uiPriority w:val="99"/>
    <w:rsid w:val="005F0B35"/>
  </w:style>
  <w:style w:type="paragraph" w:styleId="ListParagraph">
    <w:name w:val="List Paragraph"/>
    <w:basedOn w:val="Normal"/>
    <w:uiPriority w:val="34"/>
    <w:qFormat/>
    <w:rsid w:val="008B33EE"/>
    <w:pPr>
      <w:spacing w:before="0" w:after="160" w:line="259" w:lineRule="auto"/>
      <w:ind w:left="720"/>
      <w:contextualSpacing/>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414C3E"/>
    <w:rPr>
      <w:color w:val="605E5C"/>
      <w:shd w:val="clear" w:color="auto" w:fill="E1DFDD"/>
    </w:rPr>
  </w:style>
  <w:style w:type="character" w:styleId="FollowedHyperlink">
    <w:name w:val="FollowedHyperlink"/>
    <w:basedOn w:val="DefaultParagraphFont"/>
    <w:semiHidden/>
    <w:unhideWhenUsed/>
    <w:rsid w:val="00CA6714"/>
    <w:rPr>
      <w:color w:val="800080" w:themeColor="followedHyperlink"/>
      <w:u w:val="single"/>
    </w:rPr>
  </w:style>
  <w:style w:type="table" w:styleId="GridTable1Light-Accent1">
    <w:name w:val="Grid Table 1 Light Accent 1"/>
    <w:basedOn w:val="TableNormal"/>
    <w:uiPriority w:val="46"/>
    <w:rsid w:val="00B324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953A54"/>
    <w:rPr>
      <w:rFonts w:ascii="Arial Narrow" w:hAnsi="Arial Narrow"/>
      <w:b/>
      <w:kern w:val="28"/>
      <w:sz w:val="36"/>
    </w:rPr>
  </w:style>
  <w:style w:type="character" w:customStyle="1" w:styleId="Heading2Char">
    <w:name w:val="Heading 2 Char"/>
    <w:basedOn w:val="DefaultParagraphFont"/>
    <w:link w:val="Heading2"/>
    <w:rsid w:val="00457529"/>
    <w:rPr>
      <w:rFonts w:ascii="Arial Narrow" w:hAnsi="Arial Narrow"/>
      <w:b/>
      <w:sz w:val="32"/>
    </w:rPr>
  </w:style>
  <w:style w:type="character" w:customStyle="1" w:styleId="Heading3Char">
    <w:name w:val="Heading 3 Char"/>
    <w:basedOn w:val="DefaultParagraphFont"/>
    <w:link w:val="Heading3"/>
    <w:rsid w:val="00457529"/>
    <w:rPr>
      <w:rFonts w:ascii="Arial Narrow" w:hAnsi="Arial Narrow"/>
      <w:b/>
      <w:sz w:val="28"/>
    </w:rPr>
  </w:style>
  <w:style w:type="character" w:customStyle="1" w:styleId="Heading4Char">
    <w:name w:val="Heading 4 Char"/>
    <w:basedOn w:val="DefaultParagraphFont"/>
    <w:link w:val="Heading4"/>
    <w:rsid w:val="00457529"/>
    <w:rPr>
      <w:rFonts w:ascii="Arial Narrow" w:hAnsi="Arial Narrow"/>
      <w:b/>
      <w:sz w:val="26"/>
    </w:rPr>
  </w:style>
  <w:style w:type="character" w:customStyle="1" w:styleId="Heading5Char">
    <w:name w:val="Heading 5 Char"/>
    <w:basedOn w:val="DefaultParagraphFont"/>
    <w:link w:val="Heading5"/>
    <w:rsid w:val="00457529"/>
    <w:rPr>
      <w:rFonts w:ascii="Arial Narrow" w:hAnsi="Arial Narrow"/>
      <w:i/>
      <w:sz w:val="26"/>
    </w:rPr>
  </w:style>
  <w:style w:type="character" w:customStyle="1" w:styleId="Heading6Char">
    <w:name w:val="Heading 6 Char"/>
    <w:basedOn w:val="DefaultParagraphFont"/>
    <w:link w:val="Heading6"/>
    <w:rsid w:val="00457529"/>
    <w:rPr>
      <w:rFonts w:ascii="Arial Narrow" w:hAnsi="Arial Narrow"/>
      <w:i/>
      <w:sz w:val="26"/>
    </w:rPr>
  </w:style>
  <w:style w:type="character" w:customStyle="1" w:styleId="Heading7Char">
    <w:name w:val="Heading 7 Char"/>
    <w:basedOn w:val="DefaultParagraphFont"/>
    <w:link w:val="Heading7"/>
    <w:rsid w:val="00457529"/>
    <w:rPr>
      <w:rFonts w:ascii="Arial Narrow" w:hAnsi="Arial Narrow"/>
      <w:i/>
      <w:sz w:val="24"/>
    </w:rPr>
  </w:style>
  <w:style w:type="character" w:customStyle="1" w:styleId="Heading8Char">
    <w:name w:val="Heading 8 Char"/>
    <w:basedOn w:val="DefaultParagraphFont"/>
    <w:link w:val="Heading8"/>
    <w:rsid w:val="00457529"/>
    <w:rPr>
      <w:rFonts w:ascii="Garamond" w:hAnsi="Garamond"/>
      <w:b/>
      <w:snapToGrid w:val="0"/>
      <w:sz w:val="36"/>
    </w:rPr>
  </w:style>
  <w:style w:type="character" w:customStyle="1" w:styleId="Heading9Char">
    <w:name w:val="Heading 9 Char"/>
    <w:basedOn w:val="DefaultParagraphFont"/>
    <w:link w:val="Heading9"/>
    <w:rsid w:val="00457529"/>
    <w:rPr>
      <w:b/>
      <w:sz w:val="40"/>
    </w:rPr>
  </w:style>
  <w:style w:type="character" w:customStyle="1" w:styleId="HeaderChar">
    <w:name w:val="Header Char"/>
    <w:aliases w:val="h1 Char1"/>
    <w:basedOn w:val="DefaultParagraphFont"/>
    <w:link w:val="Header"/>
    <w:locked/>
    <w:rsid w:val="00457529"/>
    <w:rPr>
      <w:rFonts w:ascii="Arial" w:hAnsi="Arial"/>
      <w:b/>
    </w:rPr>
  </w:style>
  <w:style w:type="character" w:customStyle="1" w:styleId="HeaderChar1">
    <w:name w:val="Header Char1"/>
    <w:aliases w:val="h1 Char"/>
    <w:basedOn w:val="DefaultParagraphFont"/>
    <w:semiHidden/>
    <w:rsid w:val="00457529"/>
    <w:rPr>
      <w:sz w:val="24"/>
    </w:rPr>
  </w:style>
  <w:style w:type="character" w:customStyle="1" w:styleId="FooterChar">
    <w:name w:val="Footer Char"/>
    <w:basedOn w:val="DefaultParagraphFont"/>
    <w:link w:val="Footer"/>
    <w:rsid w:val="00457529"/>
    <w:rPr>
      <w:rFonts w:ascii="Arial Narrow" w:hAnsi="Arial Narrow"/>
      <w:sz w:val="18"/>
    </w:rPr>
  </w:style>
  <w:style w:type="character" w:customStyle="1" w:styleId="EndnoteTextChar">
    <w:name w:val="Endnote Text Char"/>
    <w:basedOn w:val="DefaultParagraphFont"/>
    <w:link w:val="EndnoteText"/>
    <w:rsid w:val="00457529"/>
  </w:style>
  <w:style w:type="character" w:customStyle="1" w:styleId="MacroTextChar">
    <w:name w:val="Macro Text Char"/>
    <w:basedOn w:val="DefaultParagraphFont"/>
    <w:link w:val="MacroText"/>
    <w:rsid w:val="00457529"/>
    <w:rPr>
      <w:rFonts w:ascii="Courier New" w:hAnsi="Courier New" w:cs="Courier New"/>
    </w:rPr>
  </w:style>
  <w:style w:type="character" w:customStyle="1" w:styleId="DocumentMapChar">
    <w:name w:val="Document Map Char"/>
    <w:basedOn w:val="DefaultParagraphFont"/>
    <w:link w:val="DocumentMap"/>
    <w:rsid w:val="00457529"/>
    <w:rPr>
      <w:rFonts w:ascii="Tahoma" w:hAnsi="Tahoma" w:cs="Tahoma"/>
      <w:shd w:val="clear" w:color="auto" w:fill="000080"/>
    </w:rPr>
  </w:style>
  <w:style w:type="character" w:customStyle="1" w:styleId="CommentSubjectChar">
    <w:name w:val="Comment Subject Char"/>
    <w:basedOn w:val="CommentTextChar"/>
    <w:link w:val="CommentSubject"/>
    <w:rsid w:val="00457529"/>
    <w:rPr>
      <w:b/>
      <w:bCs/>
    </w:rPr>
  </w:style>
  <w:style w:type="character" w:customStyle="1" w:styleId="BalloonTextChar">
    <w:name w:val="Balloon Text Char"/>
    <w:basedOn w:val="DefaultParagraphFont"/>
    <w:link w:val="BalloonText"/>
    <w:semiHidden/>
    <w:rsid w:val="00457529"/>
    <w:rPr>
      <w:rFonts w:ascii="Tahoma" w:hAnsi="Tahoma" w:cs="Tahoma"/>
      <w:sz w:val="16"/>
      <w:szCs w:val="16"/>
    </w:rPr>
  </w:style>
  <w:style w:type="character" w:customStyle="1" w:styleId="UnresolvedMention2">
    <w:name w:val="Unresolved Mention2"/>
    <w:basedOn w:val="DefaultParagraphFont"/>
    <w:uiPriority w:val="99"/>
    <w:semiHidden/>
    <w:unhideWhenUsed/>
    <w:rsid w:val="00533DC3"/>
    <w:rPr>
      <w:color w:val="605E5C"/>
      <w:shd w:val="clear" w:color="auto" w:fill="E1DFDD"/>
    </w:rPr>
  </w:style>
  <w:style w:type="table" w:customStyle="1" w:styleId="LightList-Accent12">
    <w:name w:val="Light List - Accent 12"/>
    <w:basedOn w:val="TableNormal"/>
    <w:uiPriority w:val="61"/>
    <w:rsid w:val="00865416"/>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B22E0"/>
    <w:rPr>
      <w:color w:val="808080"/>
    </w:rPr>
  </w:style>
  <w:style w:type="paragraph" w:styleId="Revision">
    <w:name w:val="Revision"/>
    <w:hidden/>
    <w:uiPriority w:val="99"/>
    <w:semiHidden/>
    <w:rsid w:val="00B01022"/>
    <w:rPr>
      <w:sz w:val="24"/>
    </w:rPr>
  </w:style>
  <w:style w:type="paragraph" w:styleId="TOCHeading">
    <w:name w:val="TOC Heading"/>
    <w:basedOn w:val="Heading1"/>
    <w:next w:val="Normal"/>
    <w:uiPriority w:val="39"/>
    <w:unhideWhenUsed/>
    <w:qFormat/>
    <w:rsid w:val="00306ACD"/>
    <w:pPr>
      <w:keepLines/>
      <w:pageBreakBefore w:val="0"/>
      <w:numPr>
        <w:numId w:val="0"/>
      </w:numPr>
      <w:tabs>
        <w:tab w:val="clear" w:pos="540"/>
      </w:tabs>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table" w:styleId="ListTable2">
    <w:name w:val="List Table 2"/>
    <w:basedOn w:val="TableNormal"/>
    <w:uiPriority w:val="47"/>
    <w:rsid w:val="00810114"/>
    <w:rPr>
      <w:rFonts w:eastAsiaTheme="minorHAnsi"/>
      <w:sz w:val="24"/>
      <w:szCs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igureChar">
    <w:name w:val="Figure Char"/>
    <w:basedOn w:val="DefaultParagraphFont"/>
    <w:link w:val="Figure"/>
    <w:rsid w:val="001C444A"/>
    <w:rPr>
      <w:sz w:val="24"/>
    </w:rPr>
  </w:style>
  <w:style w:type="paragraph" w:customStyle="1" w:styleId="EndNoteBibliographyTitle">
    <w:name w:val="EndNote Bibliography Title"/>
    <w:basedOn w:val="Normal"/>
    <w:link w:val="EndNoteBibliographyTitleChar"/>
    <w:rsid w:val="007528E5"/>
    <w:pPr>
      <w:spacing w:before="0" w:after="0"/>
      <w:jc w:val="center"/>
    </w:pPr>
    <w:rPr>
      <w:noProof/>
    </w:rPr>
  </w:style>
  <w:style w:type="character" w:customStyle="1" w:styleId="EndNoteBibliographyTitleChar">
    <w:name w:val="EndNote Bibliography Title Char"/>
    <w:basedOn w:val="DefaultParagraphFont"/>
    <w:link w:val="EndNoteBibliographyTitle"/>
    <w:rsid w:val="007528E5"/>
    <w:rPr>
      <w:noProof/>
      <w:sz w:val="24"/>
      <w:szCs w:val="24"/>
    </w:rPr>
  </w:style>
  <w:style w:type="paragraph" w:customStyle="1" w:styleId="EndNoteBibliography">
    <w:name w:val="EndNote Bibliography"/>
    <w:basedOn w:val="Normal"/>
    <w:link w:val="EndNoteBibliographyChar"/>
    <w:rsid w:val="007528E5"/>
    <w:pPr>
      <w:spacing w:before="0" w:after="0"/>
    </w:pPr>
    <w:rPr>
      <w:noProof/>
    </w:rPr>
  </w:style>
  <w:style w:type="character" w:customStyle="1" w:styleId="EndNoteBibliographyChar">
    <w:name w:val="EndNote Bibliography Char"/>
    <w:basedOn w:val="DefaultParagraphFont"/>
    <w:link w:val="EndNoteBibliography"/>
    <w:rsid w:val="007528E5"/>
    <w:rPr>
      <w:noProof/>
      <w:sz w:val="24"/>
      <w:szCs w:val="24"/>
    </w:rPr>
  </w:style>
  <w:style w:type="character" w:styleId="Emphasis">
    <w:name w:val="Emphasis"/>
    <w:basedOn w:val="DefaultParagraphFont"/>
    <w:uiPriority w:val="20"/>
    <w:qFormat/>
    <w:rsid w:val="00E14A75"/>
    <w:rPr>
      <w:i/>
      <w:iCs/>
    </w:rPr>
  </w:style>
  <w:style w:type="character" w:styleId="Strong">
    <w:name w:val="Strong"/>
    <w:basedOn w:val="DefaultParagraphFont"/>
    <w:uiPriority w:val="22"/>
    <w:qFormat/>
    <w:rsid w:val="00E14A75"/>
    <w:rPr>
      <w:b/>
      <w:bCs/>
    </w:rPr>
  </w:style>
  <w:style w:type="character" w:customStyle="1" w:styleId="UnresolvedMention3">
    <w:name w:val="Unresolved Mention3"/>
    <w:basedOn w:val="DefaultParagraphFont"/>
    <w:uiPriority w:val="99"/>
    <w:semiHidden/>
    <w:unhideWhenUsed/>
    <w:rsid w:val="00F55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555">
      <w:bodyDiv w:val="1"/>
      <w:marLeft w:val="0"/>
      <w:marRight w:val="0"/>
      <w:marTop w:val="0"/>
      <w:marBottom w:val="0"/>
      <w:divBdr>
        <w:top w:val="none" w:sz="0" w:space="0" w:color="auto"/>
        <w:left w:val="none" w:sz="0" w:space="0" w:color="auto"/>
        <w:bottom w:val="none" w:sz="0" w:space="0" w:color="auto"/>
        <w:right w:val="none" w:sz="0" w:space="0" w:color="auto"/>
      </w:divBdr>
    </w:div>
    <w:div w:id="101537742">
      <w:bodyDiv w:val="1"/>
      <w:marLeft w:val="0"/>
      <w:marRight w:val="0"/>
      <w:marTop w:val="0"/>
      <w:marBottom w:val="0"/>
      <w:divBdr>
        <w:top w:val="none" w:sz="0" w:space="0" w:color="auto"/>
        <w:left w:val="none" w:sz="0" w:space="0" w:color="auto"/>
        <w:bottom w:val="none" w:sz="0" w:space="0" w:color="auto"/>
        <w:right w:val="none" w:sz="0" w:space="0" w:color="auto"/>
      </w:divBdr>
    </w:div>
    <w:div w:id="232744337">
      <w:bodyDiv w:val="1"/>
      <w:marLeft w:val="0"/>
      <w:marRight w:val="0"/>
      <w:marTop w:val="0"/>
      <w:marBottom w:val="0"/>
      <w:divBdr>
        <w:top w:val="none" w:sz="0" w:space="0" w:color="auto"/>
        <w:left w:val="none" w:sz="0" w:space="0" w:color="auto"/>
        <w:bottom w:val="none" w:sz="0" w:space="0" w:color="auto"/>
        <w:right w:val="none" w:sz="0" w:space="0" w:color="auto"/>
      </w:divBdr>
    </w:div>
    <w:div w:id="287054582">
      <w:bodyDiv w:val="1"/>
      <w:marLeft w:val="0"/>
      <w:marRight w:val="0"/>
      <w:marTop w:val="0"/>
      <w:marBottom w:val="0"/>
      <w:divBdr>
        <w:top w:val="none" w:sz="0" w:space="0" w:color="auto"/>
        <w:left w:val="none" w:sz="0" w:space="0" w:color="auto"/>
        <w:bottom w:val="none" w:sz="0" w:space="0" w:color="auto"/>
        <w:right w:val="none" w:sz="0" w:space="0" w:color="auto"/>
      </w:divBdr>
    </w:div>
    <w:div w:id="292950818">
      <w:bodyDiv w:val="1"/>
      <w:marLeft w:val="0"/>
      <w:marRight w:val="0"/>
      <w:marTop w:val="0"/>
      <w:marBottom w:val="0"/>
      <w:divBdr>
        <w:top w:val="none" w:sz="0" w:space="0" w:color="auto"/>
        <w:left w:val="none" w:sz="0" w:space="0" w:color="auto"/>
        <w:bottom w:val="none" w:sz="0" w:space="0" w:color="auto"/>
        <w:right w:val="none" w:sz="0" w:space="0" w:color="auto"/>
      </w:divBdr>
    </w:div>
    <w:div w:id="418017784">
      <w:bodyDiv w:val="1"/>
      <w:marLeft w:val="0"/>
      <w:marRight w:val="0"/>
      <w:marTop w:val="0"/>
      <w:marBottom w:val="0"/>
      <w:divBdr>
        <w:top w:val="none" w:sz="0" w:space="0" w:color="auto"/>
        <w:left w:val="none" w:sz="0" w:space="0" w:color="auto"/>
        <w:bottom w:val="none" w:sz="0" w:space="0" w:color="auto"/>
        <w:right w:val="none" w:sz="0" w:space="0" w:color="auto"/>
      </w:divBdr>
    </w:div>
    <w:div w:id="419571063">
      <w:bodyDiv w:val="1"/>
      <w:marLeft w:val="0"/>
      <w:marRight w:val="0"/>
      <w:marTop w:val="0"/>
      <w:marBottom w:val="0"/>
      <w:divBdr>
        <w:top w:val="none" w:sz="0" w:space="0" w:color="auto"/>
        <w:left w:val="none" w:sz="0" w:space="0" w:color="auto"/>
        <w:bottom w:val="none" w:sz="0" w:space="0" w:color="auto"/>
        <w:right w:val="none" w:sz="0" w:space="0" w:color="auto"/>
      </w:divBdr>
    </w:div>
    <w:div w:id="421996608">
      <w:bodyDiv w:val="1"/>
      <w:marLeft w:val="0"/>
      <w:marRight w:val="0"/>
      <w:marTop w:val="0"/>
      <w:marBottom w:val="0"/>
      <w:divBdr>
        <w:top w:val="none" w:sz="0" w:space="0" w:color="auto"/>
        <w:left w:val="none" w:sz="0" w:space="0" w:color="auto"/>
        <w:bottom w:val="none" w:sz="0" w:space="0" w:color="auto"/>
        <w:right w:val="none" w:sz="0" w:space="0" w:color="auto"/>
      </w:divBdr>
    </w:div>
    <w:div w:id="436995446">
      <w:bodyDiv w:val="1"/>
      <w:marLeft w:val="0"/>
      <w:marRight w:val="0"/>
      <w:marTop w:val="0"/>
      <w:marBottom w:val="0"/>
      <w:divBdr>
        <w:top w:val="none" w:sz="0" w:space="0" w:color="auto"/>
        <w:left w:val="none" w:sz="0" w:space="0" w:color="auto"/>
        <w:bottom w:val="none" w:sz="0" w:space="0" w:color="auto"/>
        <w:right w:val="none" w:sz="0" w:space="0" w:color="auto"/>
      </w:divBdr>
    </w:div>
    <w:div w:id="506554913">
      <w:bodyDiv w:val="1"/>
      <w:marLeft w:val="0"/>
      <w:marRight w:val="0"/>
      <w:marTop w:val="0"/>
      <w:marBottom w:val="0"/>
      <w:divBdr>
        <w:top w:val="none" w:sz="0" w:space="0" w:color="auto"/>
        <w:left w:val="none" w:sz="0" w:space="0" w:color="auto"/>
        <w:bottom w:val="none" w:sz="0" w:space="0" w:color="auto"/>
        <w:right w:val="none" w:sz="0" w:space="0" w:color="auto"/>
      </w:divBdr>
    </w:div>
    <w:div w:id="548686877">
      <w:bodyDiv w:val="1"/>
      <w:marLeft w:val="0"/>
      <w:marRight w:val="0"/>
      <w:marTop w:val="0"/>
      <w:marBottom w:val="0"/>
      <w:divBdr>
        <w:top w:val="none" w:sz="0" w:space="0" w:color="auto"/>
        <w:left w:val="none" w:sz="0" w:space="0" w:color="auto"/>
        <w:bottom w:val="none" w:sz="0" w:space="0" w:color="auto"/>
        <w:right w:val="none" w:sz="0" w:space="0" w:color="auto"/>
      </w:divBdr>
    </w:div>
    <w:div w:id="759907046">
      <w:bodyDiv w:val="1"/>
      <w:marLeft w:val="0"/>
      <w:marRight w:val="0"/>
      <w:marTop w:val="0"/>
      <w:marBottom w:val="0"/>
      <w:divBdr>
        <w:top w:val="none" w:sz="0" w:space="0" w:color="auto"/>
        <w:left w:val="none" w:sz="0" w:space="0" w:color="auto"/>
        <w:bottom w:val="none" w:sz="0" w:space="0" w:color="auto"/>
        <w:right w:val="none" w:sz="0" w:space="0" w:color="auto"/>
      </w:divBdr>
    </w:div>
    <w:div w:id="810484751">
      <w:bodyDiv w:val="1"/>
      <w:marLeft w:val="0"/>
      <w:marRight w:val="0"/>
      <w:marTop w:val="0"/>
      <w:marBottom w:val="0"/>
      <w:divBdr>
        <w:top w:val="none" w:sz="0" w:space="0" w:color="auto"/>
        <w:left w:val="none" w:sz="0" w:space="0" w:color="auto"/>
        <w:bottom w:val="none" w:sz="0" w:space="0" w:color="auto"/>
        <w:right w:val="none" w:sz="0" w:space="0" w:color="auto"/>
      </w:divBdr>
    </w:div>
    <w:div w:id="887717065">
      <w:bodyDiv w:val="1"/>
      <w:marLeft w:val="0"/>
      <w:marRight w:val="0"/>
      <w:marTop w:val="0"/>
      <w:marBottom w:val="0"/>
      <w:divBdr>
        <w:top w:val="none" w:sz="0" w:space="0" w:color="auto"/>
        <w:left w:val="none" w:sz="0" w:space="0" w:color="auto"/>
        <w:bottom w:val="none" w:sz="0" w:space="0" w:color="auto"/>
        <w:right w:val="none" w:sz="0" w:space="0" w:color="auto"/>
      </w:divBdr>
    </w:div>
    <w:div w:id="903837398">
      <w:bodyDiv w:val="1"/>
      <w:marLeft w:val="0"/>
      <w:marRight w:val="0"/>
      <w:marTop w:val="0"/>
      <w:marBottom w:val="0"/>
      <w:divBdr>
        <w:top w:val="none" w:sz="0" w:space="0" w:color="auto"/>
        <w:left w:val="none" w:sz="0" w:space="0" w:color="auto"/>
        <w:bottom w:val="none" w:sz="0" w:space="0" w:color="auto"/>
        <w:right w:val="none" w:sz="0" w:space="0" w:color="auto"/>
      </w:divBdr>
    </w:div>
    <w:div w:id="1000549164">
      <w:bodyDiv w:val="1"/>
      <w:marLeft w:val="0"/>
      <w:marRight w:val="0"/>
      <w:marTop w:val="0"/>
      <w:marBottom w:val="0"/>
      <w:divBdr>
        <w:top w:val="none" w:sz="0" w:space="0" w:color="auto"/>
        <w:left w:val="none" w:sz="0" w:space="0" w:color="auto"/>
        <w:bottom w:val="none" w:sz="0" w:space="0" w:color="auto"/>
        <w:right w:val="none" w:sz="0" w:space="0" w:color="auto"/>
      </w:divBdr>
    </w:div>
    <w:div w:id="1140654732">
      <w:bodyDiv w:val="1"/>
      <w:marLeft w:val="0"/>
      <w:marRight w:val="0"/>
      <w:marTop w:val="0"/>
      <w:marBottom w:val="0"/>
      <w:divBdr>
        <w:top w:val="none" w:sz="0" w:space="0" w:color="auto"/>
        <w:left w:val="none" w:sz="0" w:space="0" w:color="auto"/>
        <w:bottom w:val="none" w:sz="0" w:space="0" w:color="auto"/>
        <w:right w:val="none" w:sz="0" w:space="0" w:color="auto"/>
      </w:divBdr>
    </w:div>
    <w:div w:id="1177574728">
      <w:bodyDiv w:val="1"/>
      <w:marLeft w:val="0"/>
      <w:marRight w:val="0"/>
      <w:marTop w:val="0"/>
      <w:marBottom w:val="0"/>
      <w:divBdr>
        <w:top w:val="none" w:sz="0" w:space="0" w:color="auto"/>
        <w:left w:val="none" w:sz="0" w:space="0" w:color="auto"/>
        <w:bottom w:val="none" w:sz="0" w:space="0" w:color="auto"/>
        <w:right w:val="none" w:sz="0" w:space="0" w:color="auto"/>
      </w:divBdr>
    </w:div>
    <w:div w:id="1242910947">
      <w:bodyDiv w:val="1"/>
      <w:marLeft w:val="0"/>
      <w:marRight w:val="0"/>
      <w:marTop w:val="0"/>
      <w:marBottom w:val="0"/>
      <w:divBdr>
        <w:top w:val="none" w:sz="0" w:space="0" w:color="auto"/>
        <w:left w:val="none" w:sz="0" w:space="0" w:color="auto"/>
        <w:bottom w:val="none" w:sz="0" w:space="0" w:color="auto"/>
        <w:right w:val="none" w:sz="0" w:space="0" w:color="auto"/>
      </w:divBdr>
    </w:div>
    <w:div w:id="1351759451">
      <w:bodyDiv w:val="1"/>
      <w:marLeft w:val="0"/>
      <w:marRight w:val="0"/>
      <w:marTop w:val="0"/>
      <w:marBottom w:val="0"/>
      <w:divBdr>
        <w:top w:val="none" w:sz="0" w:space="0" w:color="auto"/>
        <w:left w:val="none" w:sz="0" w:space="0" w:color="auto"/>
        <w:bottom w:val="none" w:sz="0" w:space="0" w:color="auto"/>
        <w:right w:val="none" w:sz="0" w:space="0" w:color="auto"/>
      </w:divBdr>
    </w:div>
    <w:div w:id="1468083836">
      <w:bodyDiv w:val="1"/>
      <w:marLeft w:val="0"/>
      <w:marRight w:val="0"/>
      <w:marTop w:val="0"/>
      <w:marBottom w:val="0"/>
      <w:divBdr>
        <w:top w:val="none" w:sz="0" w:space="0" w:color="auto"/>
        <w:left w:val="none" w:sz="0" w:space="0" w:color="auto"/>
        <w:bottom w:val="none" w:sz="0" w:space="0" w:color="auto"/>
        <w:right w:val="none" w:sz="0" w:space="0" w:color="auto"/>
      </w:divBdr>
    </w:div>
    <w:div w:id="1501655910">
      <w:bodyDiv w:val="1"/>
      <w:marLeft w:val="0"/>
      <w:marRight w:val="0"/>
      <w:marTop w:val="0"/>
      <w:marBottom w:val="0"/>
      <w:divBdr>
        <w:top w:val="none" w:sz="0" w:space="0" w:color="auto"/>
        <w:left w:val="none" w:sz="0" w:space="0" w:color="auto"/>
        <w:bottom w:val="none" w:sz="0" w:space="0" w:color="auto"/>
        <w:right w:val="none" w:sz="0" w:space="0" w:color="auto"/>
      </w:divBdr>
    </w:div>
    <w:div w:id="1568110312">
      <w:bodyDiv w:val="1"/>
      <w:marLeft w:val="0"/>
      <w:marRight w:val="0"/>
      <w:marTop w:val="0"/>
      <w:marBottom w:val="0"/>
      <w:divBdr>
        <w:top w:val="none" w:sz="0" w:space="0" w:color="auto"/>
        <w:left w:val="none" w:sz="0" w:space="0" w:color="auto"/>
        <w:bottom w:val="none" w:sz="0" w:space="0" w:color="auto"/>
        <w:right w:val="none" w:sz="0" w:space="0" w:color="auto"/>
      </w:divBdr>
    </w:div>
    <w:div w:id="1573466359">
      <w:bodyDiv w:val="1"/>
      <w:marLeft w:val="0"/>
      <w:marRight w:val="0"/>
      <w:marTop w:val="0"/>
      <w:marBottom w:val="0"/>
      <w:divBdr>
        <w:top w:val="none" w:sz="0" w:space="0" w:color="auto"/>
        <w:left w:val="none" w:sz="0" w:space="0" w:color="auto"/>
        <w:bottom w:val="none" w:sz="0" w:space="0" w:color="auto"/>
        <w:right w:val="none" w:sz="0" w:space="0" w:color="auto"/>
      </w:divBdr>
    </w:div>
    <w:div w:id="1633562488">
      <w:bodyDiv w:val="1"/>
      <w:marLeft w:val="0"/>
      <w:marRight w:val="0"/>
      <w:marTop w:val="0"/>
      <w:marBottom w:val="0"/>
      <w:divBdr>
        <w:top w:val="none" w:sz="0" w:space="0" w:color="auto"/>
        <w:left w:val="none" w:sz="0" w:space="0" w:color="auto"/>
        <w:bottom w:val="none" w:sz="0" w:space="0" w:color="auto"/>
        <w:right w:val="none" w:sz="0" w:space="0" w:color="auto"/>
      </w:divBdr>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9743891">
          <w:marLeft w:val="1152"/>
          <w:marRight w:val="0"/>
          <w:marTop w:val="0"/>
          <w:marBottom w:val="3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sChild>
    </w:div>
    <w:div w:id="1795127643">
      <w:bodyDiv w:val="1"/>
      <w:marLeft w:val="0"/>
      <w:marRight w:val="0"/>
      <w:marTop w:val="0"/>
      <w:marBottom w:val="0"/>
      <w:divBdr>
        <w:top w:val="none" w:sz="0" w:space="0" w:color="auto"/>
        <w:left w:val="none" w:sz="0" w:space="0" w:color="auto"/>
        <w:bottom w:val="none" w:sz="0" w:space="0" w:color="auto"/>
        <w:right w:val="none" w:sz="0" w:space="0" w:color="auto"/>
      </w:divBdr>
    </w:div>
    <w:div w:id="1820488422">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277839240">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1865822782">
          <w:marLeft w:val="720"/>
          <w:marRight w:val="0"/>
          <w:marTop w:val="0"/>
          <w:marBottom w:val="160"/>
          <w:divBdr>
            <w:top w:val="none" w:sz="0" w:space="0" w:color="auto"/>
            <w:left w:val="none" w:sz="0" w:space="0" w:color="auto"/>
            <w:bottom w:val="none" w:sz="0" w:space="0" w:color="auto"/>
            <w:right w:val="none" w:sz="0" w:space="0" w:color="auto"/>
          </w:divBdr>
        </w:div>
      </w:divsChild>
    </w:div>
    <w:div w:id="2004384243">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cdc.gov/healthyweight/assessing/bmi/childrens_bmi/about_childrens_bmi.html"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https://doi.org/10.1093/jamia/ocx037"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github.com/mitre/growthcleanr"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cdc.gov/healthyweight/assessing/bmi/childrens_bmi/about_childrens_bmi.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geography/guidance/geo-areas/zctas.html" TargetMode="External"/><Relationship Id="rId2" Type="http://schemas.openxmlformats.org/officeDocument/2006/relationships/hyperlink" Target="https://github.com/NORC-UChicago/CODI-PQ" TargetMode="External"/><Relationship Id="rId1" Type="http://schemas.openxmlformats.org/officeDocument/2006/relationships/hyperlink" Target="https://synthetichealth.github.io/synthea/" TargetMode="External"/><Relationship Id="rId6" Type="http://schemas.openxmlformats.org/officeDocument/2006/relationships/hyperlink" Target="https://www.census.gov/programs-surveys/geography/guidance/geo-areas/zctas.html" TargetMode="External"/><Relationship Id="rId5" Type="http://schemas.openxmlformats.org/officeDocument/2006/relationships/hyperlink" Target="https://github.com/NORC-UChicago/CODI-PQ" TargetMode="External"/><Relationship Id="rId4" Type="http://schemas.openxmlformats.org/officeDocument/2006/relationships/hyperlink" Target="https://github.com/mitre/growthclean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ork\Desktop\Health_FFRDC_Template_Long_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5B097D2352E29A4E92981C3CB46A213B" ma:contentTypeVersion="4" ma:contentTypeDescription="Materials and documents that contain MITRE authored content and other content directly attributable to MITRE and its work" ma:contentTypeScope="" ma:versionID="1d9b39a45f3ad7fb035e4b4cd81091c0">
  <xsd:schema xmlns:xsd="http://www.w3.org/2001/XMLSchema" xmlns:xs="http://www.w3.org/2001/XMLSchema" xmlns:p="http://schemas.microsoft.com/office/2006/metadata/properties" xmlns:ns1="http://schemas.microsoft.com/sharepoint/v3" xmlns:ns2="http://schemas.microsoft.com/sharepoint/v3/fields" xmlns:ns3="8d96854e-f06a-4472-bd35-09ba8bc0aee4" xmlns:ns4="http://schemas.microsoft.com/sharepoint/v4" xmlns:ns5="9f9ce6aa-820e-4256-9097-823aabb2e775" targetNamespace="http://schemas.microsoft.com/office/2006/metadata/properties" ma:root="true" ma:fieldsID="4a57be30f2b4723ac379e4b24c414932" ns1:_="" ns2:_="" ns3:_="" ns4:_="" ns5:_="">
    <xsd:import namespace="http://schemas.microsoft.com/sharepoint/v3"/>
    <xsd:import namespace="http://schemas.microsoft.com/sharepoint/v3/fields"/>
    <xsd:import namespace="8d96854e-f06a-4472-bd35-09ba8bc0aee4"/>
    <xsd:import namespace="http://schemas.microsoft.com/sharepoint/v4"/>
    <xsd:import namespace="9f9ce6aa-820e-4256-9097-823aabb2e775"/>
    <xsd:element name="properties">
      <xsd:complexType>
        <xsd:sequence>
          <xsd:element name="documentManagement">
            <xsd:complexType>
              <xsd:all>
                <xsd:element ref="ns2:_Contributor" minOccurs="0"/>
                <xsd:element ref="ns1:MITRE_x0020_Sensitivity"/>
                <xsd:element ref="ns1:Release_x0020_Statement"/>
                <xsd:element ref="ns3:SharedWithUsers" minOccurs="0"/>
                <xsd:element ref="ns4:IconOverlay" minOccurs="0"/>
                <xsd:element ref="ns5: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96854e-f06a-4472-bd35-09ba8bc0aee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ce6aa-820e-4256-9097-823aabb2e775" elementFormDefault="qualified">
    <xsd:import namespace="http://schemas.microsoft.com/office/2006/documentManagement/types"/>
    <xsd:import namespace="http://schemas.microsoft.com/office/infopath/2007/PartnerControls"/>
    <xsd:element name="date" ma:index="14"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IconOverlay xmlns="http://schemas.microsoft.com/sharepoint/v4" xsi:nil="true"/>
    <_Contributor xmlns="http://schemas.microsoft.com/sharepoint/v3/fields">Devi Chelluri, Scott Campbell, Kennon Copeland, Susan Paddock from NORC at the University of Chicago</_Contributor>
    <Release_x0020_Statement xmlns="http://schemas.microsoft.com/sharepoint/v3">For Release to All Sponsors</Release_x0020_Statement>
    <SharedWithUsers xmlns="8d96854e-f06a-4472-bd35-09ba8bc0aee4">
      <UserInfo>
        <DisplayName>Fabian, Lacy A</DisplayName>
        <AccountId>109</AccountId>
        <AccountType/>
      </UserInfo>
    </SharedWithUsers>
    <date xmlns="9f9ce6aa-820e-4256-9097-823aabb2e775">2020-07-23T00:00:00-04:00</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9718-3A50-4467-8095-0A5FC9424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8d96854e-f06a-4472-bd35-09ba8bc0aee4"/>
    <ds:schemaRef ds:uri="http://schemas.microsoft.com/sharepoint/v4"/>
    <ds:schemaRef ds:uri="9f9ce6aa-820e-4256-9097-823aabb2e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A652B-CE65-440B-9B13-612189F8702A}">
  <ds:schemaRefs>
    <ds:schemaRef ds:uri="http://schemas.microsoft.com/office/2006/metadata/customXsn"/>
  </ds:schemaRefs>
</ds:datastoreItem>
</file>

<file path=customXml/itemProps3.xml><?xml version="1.0" encoding="utf-8"?>
<ds:datastoreItem xmlns:ds="http://schemas.openxmlformats.org/officeDocument/2006/customXml" ds:itemID="{9E1F2255-79ED-43F4-9955-10C704CDEC9B}">
  <ds:schemaRefs>
    <ds:schemaRef ds:uri="http://purl.org/dc/elements/1.1/"/>
    <ds:schemaRef ds:uri="http://schemas.microsoft.com/office/2006/documentManagement/types"/>
    <ds:schemaRef ds:uri="http://schemas.microsoft.com/sharepoint/v3"/>
    <ds:schemaRef ds:uri="http://schemas.microsoft.com/sharepoint/v4"/>
    <ds:schemaRef ds:uri="http://purl.org/dc/terms/"/>
    <ds:schemaRef ds:uri="http://schemas.openxmlformats.org/package/2006/metadata/core-properties"/>
    <ds:schemaRef ds:uri="http://purl.org/dc/dcmitype/"/>
    <ds:schemaRef ds:uri="http://schemas.microsoft.com/office/infopath/2007/PartnerControls"/>
    <ds:schemaRef ds:uri="9f9ce6aa-820e-4256-9097-823aabb2e775"/>
    <ds:schemaRef ds:uri="8d96854e-f06a-4472-bd35-09ba8bc0aee4"/>
    <ds:schemaRef ds:uri="http://schemas.microsoft.com/sharepoint/v3/field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65692269-B751-488C-AF4A-67FB15835A3C}">
  <ds:schemaRefs>
    <ds:schemaRef ds:uri="http://schemas.microsoft.com/sharepoint/v3/contenttype/forms"/>
  </ds:schemaRefs>
</ds:datastoreItem>
</file>

<file path=customXml/itemProps5.xml><?xml version="1.0" encoding="utf-8"?>
<ds:datastoreItem xmlns:ds="http://schemas.openxmlformats.org/officeDocument/2006/customXml" ds:itemID="{7B334496-D16C-451E-A602-B5F502D0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Health_FFRDC_Template_Long_Instructions</Template>
  <TotalTime>69</TotalTime>
  <Pages>30</Pages>
  <Words>7620</Words>
  <Characters>46993</Characters>
  <Application>Microsoft Office Word</Application>
  <DocSecurity>0</DocSecurity>
  <Lines>391</Lines>
  <Paragraphs>109</Paragraphs>
  <ScaleCrop>false</ScaleCrop>
  <HeadingPairs>
    <vt:vector size="2" baseType="variant">
      <vt:variant>
        <vt:lpstr>Title</vt:lpstr>
      </vt:variant>
      <vt:variant>
        <vt:i4>1</vt:i4>
      </vt:variant>
    </vt:vector>
  </HeadingPairs>
  <TitlesOfParts>
    <vt:vector size="1" baseType="lpstr">
      <vt:lpstr>Centers for Medicare &amp; Medicaid Services Alliance to Modernize Healthcare (Health FFRDC) – A Federally Funded Research and Development Center</vt:lpstr>
    </vt:vector>
  </TitlesOfParts>
  <Company/>
  <LinksUpToDate>false</LinksUpToDate>
  <CharactersWithSpaces>54504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Centers for Medicare &amp; Medicaid Services Alliance to Modernize Healthcare (Health FFRDC) – A Federally Funded Research and Development Center</dc:title>
  <dc:subject/>
  <dc:creator>Erin Tanenbaum</dc:creator>
  <cp:keywords/>
  <dc:description/>
  <cp:lastModifiedBy>Scott Campbell</cp:lastModifiedBy>
  <cp:revision>3</cp:revision>
  <cp:lastPrinted>2002-11-19T18:54:00Z</cp:lastPrinted>
  <dcterms:created xsi:type="dcterms:W3CDTF">2020-07-24T20:30:00Z</dcterms:created>
  <dcterms:modified xsi:type="dcterms:W3CDTF">2020-07-24T21:39:00Z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0x010100823A99C636F7423283FB0D200866C613005B097D2352E29A4E92981C3CB46A213B</vt:lpwstr>
  </property>
  <property fmtid="{D5CDD505-2E9C-101B-9397-08002B2CF9AE}" pid="3" name="_dlc_DocIdItemGuid">
    <vt:lpwstr>384f8a64-3884-4c91-9ae7-c0b2d18d5946</vt:lpwstr>
  </property>
  <property fmtid="{D5CDD505-2E9C-101B-9397-08002B2CF9AE}" pid="4" name="Document Category">
    <vt:lpwstr>1</vt:lpwstr>
  </property>
</Properties>
</file>