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淘宝星河 RPA 数据采集与 GMV 报表系统</w:t>
        <w:br/>
        <w:t>技术开发文档</w:t>
      </w:r>
    </w:p>
    <w:p>
      <w:pPr>
        <w:jc w:val="center"/>
      </w:pPr>
      <w:r>
        <w:t>版本：1.0    编制日期：2026-09-04</w:t>
      </w:r>
    </w:p>
    <w:p>
      <w:pPr>
        <w:pStyle w:val="Heading1"/>
      </w:pPr>
      <w:r>
        <w:t>1. 项目概述</w:t>
      </w:r>
    </w:p>
    <w:p>
      <w:r>
        <w:t>本项目通过 Python 与 Playwright 自动操作淘宝星河平台，完成项目数据采集、特殊报表下载、白名单数据匹配、GMV 汇总及 Excel 报表生成。除用户登录完成后的一次确认外，正式流程连续执行，无需额外人工确认。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4472C4"/>
          </w:tcPr>
          <w:p>
            <w:r>
              <w:rPr>
                <w:b/>
                <w:color w:val="FFFFFF"/>
              </w:rPr>
              <w:t>项目项</w:t>
            </w:r>
          </w:p>
        </w:tc>
        <w:tc>
          <w:tcPr>
            <w:tcW w:type="dxa" w:w="4759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4759"/>
            <w:vAlign w:val="center"/>
          </w:tcPr>
          <w:p>
            <w:r>
              <w:t>目标平台</w:t>
            </w:r>
          </w:p>
        </w:tc>
        <w:tc>
          <w:tcPr>
            <w:tcW w:type="dxa" w:w="4759"/>
            <w:vAlign w:val="center"/>
          </w:tcPr>
          <w:p>
            <w:r>
              <w:t>淘宝星河（adstar.alimama.com）</w:t>
            </w:r>
          </w:p>
        </w:tc>
      </w:tr>
      <w:tr>
        <w:tc>
          <w:tcPr>
            <w:tcW w:type="dxa" w:w="4759"/>
            <w:vAlign w:val="center"/>
          </w:tcPr>
          <w:p>
            <w:r>
              <w:t>主要技术</w:t>
            </w:r>
          </w:p>
        </w:tc>
        <w:tc>
          <w:tcPr>
            <w:tcW w:type="dxa" w:w="4759"/>
            <w:vAlign w:val="center"/>
          </w:tcPr>
          <w:p>
            <w:r>
              <w:t>Python 3.10、Playwright、pandas、openpyxl、PyYAML</w:t>
            </w:r>
          </w:p>
        </w:tc>
      </w:tr>
      <w:tr>
        <w:tc>
          <w:tcPr>
            <w:tcW w:type="dxa" w:w="4759"/>
            <w:vAlign w:val="center"/>
          </w:tcPr>
          <w:p>
            <w:r>
              <w:t>运行方式</w:t>
            </w:r>
          </w:p>
        </w:tc>
        <w:tc>
          <w:tcPr>
            <w:tcW w:type="dxa" w:w="4759"/>
            <w:vAlign w:val="center"/>
          </w:tcPr>
          <w:p>
            <w:r>
              <w:t>可视化 Chromium 浏览器 + 人工登录确认 + 自动业务流程</w:t>
            </w:r>
          </w:p>
        </w:tc>
      </w:tr>
      <w:tr>
        <w:tc>
          <w:tcPr>
            <w:tcW w:type="dxa" w:w="4759"/>
            <w:vAlign w:val="center"/>
          </w:tcPr>
          <w:p>
            <w:r>
              <w:t>采集周期</w:t>
            </w:r>
          </w:p>
        </w:tc>
        <w:tc>
          <w:tcPr>
            <w:tcW w:type="dxa" w:w="4759"/>
            <w:vAlign w:val="center"/>
          </w:tcPr>
          <w:p>
            <w:r>
              <w:t>2026-08-09 至本机运行当天；平台无当天数据时接受最近可用日期</w:t>
            </w:r>
          </w:p>
        </w:tc>
      </w:tr>
      <w:tr>
        <w:tc>
          <w:tcPr>
            <w:tcW w:type="dxa" w:w="4759"/>
            <w:vAlign w:val="center"/>
          </w:tcPr>
          <w:p>
            <w:r>
              <w:t>最终产物</w:t>
            </w:r>
          </w:p>
        </w:tc>
        <w:tc>
          <w:tcPr>
            <w:tcW w:type="dxa" w:w="4759"/>
            <w:vAlign w:val="center"/>
          </w:tcPr>
          <w:p>
            <w:r>
              <w:t>戈撒驰星河平台投流商家GMV报表（Excel）</w:t>
            </w:r>
          </w:p>
        </w:tc>
      </w:tr>
    </w:tbl>
    <w:p>
      <w:pPr>
        <w:pStyle w:val="Heading1"/>
      </w:pPr>
      <w:r>
        <w:t>2. 系统架构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4472C4"/>
          </w:tcPr>
          <w:p>
            <w:r>
              <w:rPr>
                <w:b/>
                <w:color w:val="FFFFFF"/>
              </w:rPr>
              <w:t>模块</w:t>
            </w:r>
          </w:p>
        </w:tc>
        <w:tc>
          <w:tcPr>
            <w:tcW w:type="dxa" w:w="3173"/>
            <w:shd w:fill="4472C4"/>
          </w:tcPr>
          <w:p>
            <w:r>
              <w:rPr>
                <w:b/>
                <w:color w:val="FFFFFF"/>
              </w:rPr>
              <w:t>文件</w:t>
            </w:r>
          </w:p>
        </w:tc>
        <w:tc>
          <w:tcPr>
            <w:tcW w:type="dxa" w:w="3173"/>
            <w:shd w:fill="4472C4"/>
          </w:tcPr>
          <w:p>
            <w:r>
              <w:rPr>
                <w:b/>
                <w:color w:val="FFFFFF"/>
              </w:rPr>
              <w:t>职责</w:t>
            </w:r>
          </w:p>
        </w:tc>
      </w:tr>
      <w:tr>
        <w:tc>
          <w:tcPr>
            <w:tcW w:type="dxa" w:w="3173"/>
            <w:vAlign w:val="center"/>
          </w:tcPr>
          <w:p>
            <w:r>
              <w:t>程序入口</w:t>
            </w:r>
          </w:p>
        </w:tc>
        <w:tc>
          <w:tcPr>
            <w:tcW w:type="dxa" w:w="3173"/>
            <w:vAlign w:val="center"/>
          </w:tcPr>
          <w:p>
            <w:r>
              <w:t>main.py</w:t>
            </w:r>
          </w:p>
        </w:tc>
        <w:tc>
          <w:tcPr>
            <w:tcW w:type="dxa" w:w="3173"/>
            <w:vAlign w:val="center"/>
          </w:tcPr>
          <w:p>
            <w:r>
              <w:t>读取参数与配置，执行采集并触发最终报表生成</w:t>
            </w:r>
          </w:p>
        </w:tc>
      </w:tr>
      <w:tr>
        <w:tc>
          <w:tcPr>
            <w:tcW w:type="dxa" w:w="3173"/>
            <w:vAlign w:val="center"/>
          </w:tcPr>
          <w:p>
            <w:r>
              <w:t>配置加载</w:t>
            </w:r>
          </w:p>
        </w:tc>
        <w:tc>
          <w:tcPr>
            <w:tcW w:type="dxa" w:w="3173"/>
            <w:vAlign w:val="center"/>
          </w:tcPr>
          <w:p>
            <w:r>
              <w:t>rpa_collector/config.py</w:t>
            </w:r>
          </w:p>
        </w:tc>
        <w:tc>
          <w:tcPr>
            <w:tcW w:type="dxa" w:w="3173"/>
            <w:vAlign w:val="center"/>
          </w:tcPr>
          <w:p>
            <w:r>
              <w:t>读取并校验 YAML 配置</w:t>
            </w:r>
          </w:p>
        </w:tc>
      </w:tr>
      <w:tr>
        <w:tc>
          <w:tcPr>
            <w:tcW w:type="dxa" w:w="3173"/>
            <w:vAlign w:val="center"/>
          </w:tcPr>
          <w:p>
            <w:r>
              <w:t>RPA 采集</w:t>
            </w:r>
          </w:p>
        </w:tc>
        <w:tc>
          <w:tcPr>
            <w:tcW w:type="dxa" w:w="3173"/>
            <w:vAlign w:val="center"/>
          </w:tcPr>
          <w:p>
            <w:r>
              <w:t>rpa_collector/collector.py</w:t>
            </w:r>
          </w:p>
        </w:tc>
        <w:tc>
          <w:tcPr>
            <w:tcW w:type="dxa" w:w="3173"/>
            <w:vAlign w:val="center"/>
          </w:tcPr>
          <w:p>
            <w:r>
              <w:t>登录、导航、筛选、提取、下载及运行状态记录</w:t>
            </w:r>
          </w:p>
        </w:tc>
      </w:tr>
      <w:tr>
        <w:tc>
          <w:tcPr>
            <w:tcW w:type="dxa" w:w="3173"/>
            <w:vAlign w:val="center"/>
          </w:tcPr>
          <w:p>
            <w:r>
              <w:t>数据处理</w:t>
            </w:r>
          </w:p>
        </w:tc>
        <w:tc>
          <w:tcPr>
            <w:tcW w:type="dxa" w:w="3173"/>
            <w:vAlign w:val="center"/>
          </w:tcPr>
          <w:p>
            <w:r>
              <w:t>rpa_collector/reporting.py</w:t>
            </w:r>
          </w:p>
        </w:tc>
        <w:tc>
          <w:tcPr>
            <w:tcW w:type="dxa" w:w="3173"/>
            <w:vAlign w:val="center"/>
          </w:tcPr>
          <w:p>
            <w:r>
              <w:t>ID 白名单匹配、GMV 汇总及 Excel 输出</w:t>
            </w:r>
          </w:p>
        </w:tc>
      </w:tr>
      <w:tr>
        <w:tc>
          <w:tcPr>
            <w:tcW w:type="dxa" w:w="3173"/>
            <w:vAlign w:val="center"/>
          </w:tcPr>
          <w:p>
            <w:r>
              <w:t>业务配置</w:t>
            </w:r>
          </w:p>
        </w:tc>
        <w:tc>
          <w:tcPr>
            <w:tcW w:type="dxa" w:w="3173"/>
            <w:vAlign w:val="center"/>
          </w:tcPr>
          <w:p>
            <w:r>
              <w:t>config.yaml</w:t>
            </w:r>
          </w:p>
        </w:tc>
        <w:tc>
          <w:tcPr>
            <w:tcW w:type="dxa" w:w="3173"/>
            <w:vAlign w:val="center"/>
          </w:tcPr>
          <w:p>
            <w:r>
              <w:t>项目列表、日期、定位参数、下载与报表规则</w:t>
            </w:r>
          </w:p>
        </w:tc>
      </w:tr>
    </w:tbl>
    <w:p>
      <w:pPr>
        <w:pStyle w:val="Heading1"/>
      </w:pPr>
      <w:r>
        <w:t>3. 端到端业务流程</w:t>
      </w:r>
    </w:p>
    <w:p>
      <w:r>
        <w:t>1. 启动 Chromium 并打开淘宝星河；用户完成登录后在终端按一次 Enter。</w:t>
      </w:r>
    </w:p>
    <w:p>
      <w:r>
        <w:t>2. 点击“我的星河”，依次处理四个标准项目。</w:t>
      </w:r>
    </w:p>
    <w:p>
      <w:r>
        <w:t>3. 标准项目进入详情并点击“查看全部数据”，设置日期后提取商家 GMV；页面显示横线时内部记录为缺失值。</w:t>
      </w:r>
    </w:p>
    <w:p>
      <w:r>
        <w:t>4. 进入“戈撒驰7月”项目及 gys7月达人卡片，选择推广效果、内容维度、日期和 30 天归因。</w:t>
      </w:r>
    </w:p>
    <w:p>
      <w:r>
        <w:t>5. 生成报表，在下载记录中轮询最新任务，待“下载”按钮出现后保存 CSV 到项目目录。</w:t>
      </w:r>
    </w:p>
    <w:p>
      <w:r>
        <w:t>6. 自动返回项目列表，进入 Y26-Gotyasatch-种草项目的“种草视频-第一波”详情。</w:t>
      </w:r>
    </w:p>
    <w:p>
      <w:r>
        <w:t>7. 在推广效果汇总区设置日期和 30 天归因，等待 GMV 从切换前数值刷新后再提取。</w:t>
      </w:r>
    </w:p>
    <w:p>
      <w:r>
        <w:t>8. 读取临时 GMV、七月 CSV 与字典工作簿，生成最终 Excel；任务完成后自动关闭浏览器。</w:t>
      </w:r>
    </w:p>
    <w:p>
      <w:pPr>
        <w:pStyle w:val="Heading1"/>
      </w:pPr>
      <w:r>
        <w:t>4. 项目规则</w:t>
      </w:r>
    </w:p>
    <w:p>
      <w:pPr>
        <w:pStyle w:val="Heading2"/>
      </w:pPr>
      <w:r>
        <w:t>4.1 标准 GMV 项目</w:t>
      </w:r>
    </w:p>
    <w:p>
      <w:pPr>
        <w:pStyle w:val="ListBullet"/>
      </w:pPr>
      <w:r>
        <w:t>Y26-Gotyasatch-大字报Q3</w:t>
      </w:r>
    </w:p>
    <w:p>
      <w:pPr>
        <w:pStyle w:val="ListBullet"/>
      </w:pPr>
      <w:r>
        <w:t>Y26-Gotyasatch-UGCQ3</w:t>
      </w:r>
    </w:p>
    <w:p>
      <w:pPr>
        <w:pStyle w:val="ListBullet"/>
      </w:pPr>
      <w:r>
        <w:t>Y26戈撒驰-UGC-Q3</w:t>
      </w:r>
    </w:p>
    <w:p>
      <w:pPr>
        <w:pStyle w:val="ListBullet"/>
      </w:pPr>
      <w:r>
        <w:t>Y26-Gotyasatch-种草-Q3</w:t>
      </w:r>
    </w:p>
    <w:p>
      <w:pPr>
        <w:pStyle w:val="Heading2"/>
      </w:pPr>
      <w:r>
        <w:t>4.2 七月项目</w:t>
      </w:r>
    </w:p>
    <w:p>
      <w:r>
        <w:t>七月项目不直接采用页面汇总 GMV。系统仅读取字典工作簿的“CPUV底表”，先筛选时间不早于 2026-08-09 且推广目标等于 CPUV 的记录，再以“笔记/素材ID”为白名单，与下载 CSV 的“内容ID”进行标准化字符串匹配。只保留白名单命中的行，再对这些行的“商家GMV”求和。未命中的内容代表非本项目投流，必须排除。</w:t>
      </w:r>
    </w:p>
    <w:p>
      <w:pPr>
        <w:pStyle w:val="Heading2"/>
      </w:pPr>
      <w:r>
        <w:t>4.3 种草视频特殊项目</w:t>
      </w:r>
    </w:p>
    <w:p>
      <w:r>
        <w:t>目标卡片为 Y26-Gotyasatch戈撒驰书包-种草视频-第一波。日期使用可见的 .next-range-picker，通过起始日期/结束日期 placeholder 精确定位；归因口径限定在同一汇总筛选行内。切换为 30 天后，程序等待商家 GMV 发生变化，防止读取异步刷新前的 15 天旧值。</w:t>
      </w:r>
    </w:p>
    <w:p>
      <w:pPr>
        <w:pStyle w:val="Heading1"/>
      </w:pPr>
      <w:r>
        <w:t>5. 关键技术实现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4472C4"/>
          </w:tcPr>
          <w:p>
            <w:r>
              <w:rPr>
                <w:b/>
                <w:color w:val="FFFFFF"/>
              </w:rPr>
              <w:t>场景</w:t>
            </w:r>
          </w:p>
        </w:tc>
        <w:tc>
          <w:tcPr>
            <w:tcW w:type="dxa" w:w="4759"/>
            <w:shd w:fill="4472C4"/>
          </w:tcPr>
          <w:p>
            <w:r>
              <w:rPr>
                <w:b/>
                <w:color w:val="FFFFFF"/>
              </w:rPr>
              <w:t>实现策略</w:t>
            </w:r>
          </w:p>
        </w:tc>
      </w:tr>
      <w:tr>
        <w:tc>
          <w:tcPr>
            <w:tcW w:type="dxa" w:w="4759"/>
            <w:vAlign w:val="center"/>
          </w:tcPr>
          <w:p>
            <w:r>
              <w:t>项目详情入口</w:t>
            </w:r>
          </w:p>
        </w:tc>
        <w:tc>
          <w:tcPr>
            <w:tcW w:type="dxa" w:w="4759"/>
            <w:vAlign w:val="center"/>
          </w:tcPr>
          <w:p>
            <w:r>
              <w:t>以项目标题锚定 mux-card，悬停后点击 data-spm-click 包含 projectList_detail 的图标</w:t>
            </w:r>
          </w:p>
        </w:tc>
      </w:tr>
      <w:tr>
        <w:tc>
          <w:tcPr>
            <w:tcW w:type="dxa" w:w="4759"/>
            <w:vAlign w:val="center"/>
          </w:tcPr>
          <w:p>
            <w:r>
              <w:t>嵌套视频卡片</w:t>
            </w:r>
          </w:p>
        </w:tc>
        <w:tc>
          <w:tcPr>
            <w:tcW w:type="dxa" w:w="4759"/>
            <w:vAlign w:val="center"/>
          </w:tcPr>
          <w:p>
            <w:r>
              <w:t>精确匹配卡片标题，在卡片偏下位置悬停，再点击卡片内“查看详情”</w:t>
            </w:r>
          </w:p>
        </w:tc>
      </w:tr>
      <w:tr>
        <w:tc>
          <w:tcPr>
            <w:tcW w:type="dxa" w:w="4759"/>
            <w:vAlign w:val="center"/>
          </w:tcPr>
          <w:p>
            <w:r>
              <w:t>日期输入</w:t>
            </w:r>
          </w:p>
        </w:tc>
        <w:tc>
          <w:tcPr>
            <w:tcW w:type="dxa" w:w="4759"/>
            <w:vAlign w:val="center"/>
          </w:tcPr>
          <w:p>
            <w:r>
              <w:t>移除 readonly，仅对目标输入框 fill 完整日期并分别按 Enter；完成后二次读取校验</w:t>
            </w:r>
          </w:p>
        </w:tc>
      </w:tr>
      <w:tr>
        <w:tc>
          <w:tcPr>
            <w:tcW w:type="dxa" w:w="4759"/>
            <w:vAlign w:val="center"/>
          </w:tcPr>
          <w:p>
            <w:r>
              <w:t>平台日期滞后</w:t>
            </w:r>
          </w:p>
        </w:tc>
        <w:tc>
          <w:tcPr>
            <w:tcW w:type="dxa" w:w="4759"/>
            <w:vAlign w:val="center"/>
          </w:tcPr>
          <w:p>
            <w:r>
              <w:t>若结束日期被平台回退且不晚于请求日，则记录平台接受的最近可用日期</w:t>
            </w:r>
          </w:p>
        </w:tc>
      </w:tr>
      <w:tr>
        <w:tc>
          <w:tcPr>
            <w:tcW w:type="dxa" w:w="4759"/>
            <w:vAlign w:val="center"/>
          </w:tcPr>
          <w:p>
            <w:r>
              <w:t>金额解析</w:t>
            </w:r>
          </w:p>
        </w:tc>
        <w:tc>
          <w:tcPr>
            <w:tcW w:type="dxa" w:w="4759"/>
            <w:vAlign w:val="center"/>
          </w:tcPr>
          <w:p>
            <w:r>
              <w:t>识别人民币符号、千位分隔符与小数；横线转换为内部缺失标记</w:t>
            </w:r>
          </w:p>
        </w:tc>
      </w:tr>
      <w:tr>
        <w:tc>
          <w:tcPr>
            <w:tcW w:type="dxa" w:w="4759"/>
            <w:vAlign w:val="center"/>
          </w:tcPr>
          <w:p>
            <w:r>
              <w:t>下载任务</w:t>
            </w:r>
          </w:p>
        </w:tc>
        <w:tc>
          <w:tcPr>
            <w:tcW w:type="dxa" w:w="4759"/>
            <w:vAlign w:val="center"/>
          </w:tcPr>
          <w:p>
            <w:r>
              <w:t>定位最新操作时间记录并轮询，使用 Playwright 下载事件保存真实文件</w:t>
            </w:r>
          </w:p>
        </w:tc>
      </w:tr>
      <w:tr>
        <w:tc>
          <w:tcPr>
            <w:tcW w:type="dxa" w:w="4759"/>
            <w:vAlign w:val="center"/>
          </w:tcPr>
          <w:p>
            <w:r>
              <w:t>数据去重</w:t>
            </w:r>
          </w:p>
        </w:tc>
        <w:tc>
          <w:tcPr>
            <w:tcW w:type="dxa" w:w="4759"/>
            <w:vAlign w:val="center"/>
          </w:tcPr>
          <w:p>
            <w:r>
              <w:t>临时 GMV 按项目名更新，重跑不会为同一项目追加重复记录</w:t>
            </w:r>
          </w:p>
        </w:tc>
      </w:tr>
      <w:tr>
        <w:tc>
          <w:tcPr>
            <w:tcW w:type="dxa" w:w="4759"/>
            <w:vAlign w:val="center"/>
          </w:tcPr>
          <w:p>
            <w:r>
              <w:t>Excel 缺失值</w:t>
            </w:r>
          </w:p>
        </w:tc>
        <w:tc>
          <w:tcPr>
            <w:tcW w:type="dxa" w:w="4759"/>
            <w:vAlign w:val="center"/>
          </w:tcPr>
          <w:p>
            <w:r>
              <w:t>最终报表将 na、null 和空字符串统一输出为空白单元格</w:t>
            </w:r>
          </w:p>
        </w:tc>
      </w:tr>
    </w:tbl>
    <w:p>
      <w:pPr>
        <w:pStyle w:val="Heading1"/>
      </w:pPr>
      <w:r>
        <w:t>6. 数据输入与输出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4472C4"/>
          </w:tcPr>
          <w:p>
            <w:r>
              <w:rPr>
                <w:b/>
                <w:color w:val="FFFFFF"/>
              </w:rPr>
              <w:t>类型</w:t>
            </w:r>
          </w:p>
        </w:tc>
        <w:tc>
          <w:tcPr>
            <w:tcW w:type="dxa" w:w="3173"/>
            <w:shd w:fill="4472C4"/>
          </w:tcPr>
          <w:p>
            <w:r>
              <w:rPr>
                <w:b/>
                <w:color w:val="FFFFFF"/>
              </w:rPr>
              <w:t>默认路径</w:t>
            </w:r>
          </w:p>
        </w:tc>
        <w:tc>
          <w:tcPr>
            <w:tcW w:type="dxa" w:w="3173"/>
            <w:shd w:fill="4472C4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173"/>
            <w:vAlign w:val="center"/>
          </w:tcPr>
          <w:p>
            <w:r>
              <w:t>临时 GMV</w:t>
            </w:r>
          </w:p>
        </w:tc>
        <w:tc>
          <w:tcPr>
            <w:tcW w:type="dxa" w:w="3173"/>
            <w:vAlign w:val="center"/>
          </w:tcPr>
          <w:p>
            <w:r>
              <w:t>runtime/extracted_data.json</w:t>
            </w:r>
          </w:p>
        </w:tc>
        <w:tc>
          <w:tcPr>
            <w:tcW w:type="dxa" w:w="3173"/>
            <w:vAlign w:val="center"/>
          </w:tcPr>
          <w:p>
            <w:r>
              <w:t>RPA 提取结果；不提交版本库</w:t>
            </w:r>
          </w:p>
        </w:tc>
      </w:tr>
      <w:tr>
        <w:tc>
          <w:tcPr>
            <w:tcW w:type="dxa" w:w="3173"/>
            <w:vAlign w:val="center"/>
          </w:tcPr>
          <w:p>
            <w:r>
              <w:t>七月原始报表</w:t>
            </w:r>
          </w:p>
        </w:tc>
        <w:tc>
          <w:tcPr>
            <w:tcW w:type="dxa" w:w="3173"/>
            <w:vAlign w:val="center"/>
          </w:tcPr>
          <w:p>
            <w:r>
              <w:t>output/july_reports/*.csv</w:t>
            </w:r>
          </w:p>
        </w:tc>
        <w:tc>
          <w:tcPr>
            <w:tcW w:type="dxa" w:w="3173"/>
            <w:vAlign w:val="center"/>
          </w:tcPr>
          <w:p>
            <w:r>
              <w:t>平台下载数据；不提交版本库</w:t>
            </w:r>
          </w:p>
        </w:tc>
      </w:tr>
      <w:tr>
        <w:tc>
          <w:tcPr>
            <w:tcW w:type="dxa" w:w="3173"/>
            <w:vAlign w:val="center"/>
          </w:tcPr>
          <w:p>
            <w:r>
              <w:t>CPUV 字典</w:t>
            </w:r>
          </w:p>
        </w:tc>
        <w:tc>
          <w:tcPr>
            <w:tcW w:type="dxa" w:w="3173"/>
            <w:vAlign w:val="center"/>
          </w:tcPr>
          <w:p>
            <w:r>
              <w:t>Gotyasatch戈撒驰书包日报0902.xlsx</w:t>
            </w:r>
          </w:p>
        </w:tc>
        <w:tc>
          <w:tcPr>
            <w:tcW w:type="dxa" w:w="3173"/>
            <w:vAlign w:val="center"/>
          </w:tcPr>
          <w:p>
            <w:r>
              <w:t>业务数据；不提交版本库</w:t>
            </w:r>
          </w:p>
        </w:tc>
      </w:tr>
      <w:tr>
        <w:tc>
          <w:tcPr>
            <w:tcW w:type="dxa" w:w="3173"/>
            <w:vAlign w:val="center"/>
          </w:tcPr>
          <w:p>
            <w:r>
              <w:t>最终报表</w:t>
            </w:r>
          </w:p>
        </w:tc>
        <w:tc>
          <w:tcPr>
            <w:tcW w:type="dxa" w:w="3173"/>
            <w:vAlign w:val="center"/>
          </w:tcPr>
          <w:p>
            <w:r>
              <w:t>output/final_reports/*.xlsx</w:t>
            </w:r>
          </w:p>
        </w:tc>
        <w:tc>
          <w:tcPr>
            <w:tcW w:type="dxa" w:w="3173"/>
            <w:vAlign w:val="center"/>
          </w:tcPr>
          <w:p>
            <w:r>
              <w:t>两张工作表：GMV报表、7月匹配明细</w:t>
            </w:r>
          </w:p>
        </w:tc>
      </w:tr>
      <w:tr>
        <w:tc>
          <w:tcPr>
            <w:tcW w:type="dxa" w:w="3173"/>
            <w:vAlign w:val="center"/>
          </w:tcPr>
          <w:p>
            <w:r>
              <w:t>运行日志</w:t>
            </w:r>
          </w:p>
        </w:tc>
        <w:tc>
          <w:tcPr>
            <w:tcW w:type="dxa" w:w="3173"/>
            <w:vAlign w:val="center"/>
          </w:tcPr>
          <w:p>
            <w:r>
              <w:t>collector.log、logs/</w:t>
            </w:r>
          </w:p>
        </w:tc>
        <w:tc>
          <w:tcPr>
            <w:tcW w:type="dxa" w:w="3173"/>
            <w:vAlign w:val="center"/>
          </w:tcPr>
          <w:p>
            <w:r>
              <w:t>调试与失败诊断；不提交版本库</w:t>
            </w:r>
          </w:p>
        </w:tc>
      </w:tr>
    </w:tbl>
    <w:p>
      <w:r>
        <w:t>最终主表第一行为“戈撒驰星河平台投流商家GMV报表”，第二行为“时间维度：2026-08-09 to current_day”，第三行为项目名和商家GMV表头。</w:t>
      </w:r>
    </w:p>
    <w:p>
      <w:pPr>
        <w:pStyle w:val="Heading1"/>
      </w:pPr>
      <w:r>
        <w:t>7. 安装与运行</w:t>
      </w:r>
    </w:p>
    <w:p>
      <w:r>
        <w:t>在项目根目录执行：</w:t>
      </w:r>
    </w:p>
    <w:p>
      <w:r>
        <w:rPr>
          <w:rFonts w:ascii="Consolas" w:hAnsi="Consolas"/>
          <w:sz w:val="19"/>
        </w:rPr>
        <w:t>python -m venv .venv</w:t>
      </w:r>
    </w:p>
    <w:p>
      <w:r>
        <w:rPr>
          <w:rFonts w:ascii="Consolas" w:hAnsi="Consolas"/>
          <w:sz w:val="19"/>
        </w:rPr>
        <w:t>.\.venv\Scripts\python.exe -m pip install -r requirements.txt</w:t>
      </w:r>
    </w:p>
    <w:p>
      <w:r>
        <w:rPr>
          <w:rFonts w:ascii="Consolas" w:hAnsi="Consolas"/>
          <w:sz w:val="19"/>
        </w:rPr>
        <w:t>.\.venv\Scripts\python.exe -m playwright install chromium</w:t>
      </w:r>
    </w:p>
    <w:p>
      <w:r>
        <w:rPr>
          <w:rFonts w:ascii="Consolas" w:hAnsi="Consolas"/>
          <w:sz w:val="19"/>
        </w:rPr>
        <w:t>.\.venv\Scripts\python.exe main.py</w:t>
      </w:r>
    </w:p>
    <w:p>
      <w:r>
        <w:t>浏览器打开后完成登录，在终端按 Enter。之后系统自动执行到结束。登录状态保存在 runtime/auth_state.json，过期时重新登录即可。</w:t>
      </w:r>
    </w:p>
    <w:p>
      <w:pPr>
        <w:pStyle w:val="Heading1"/>
      </w:pPr>
      <w:r>
        <w:t>8. 配置说明</w:t>
      </w:r>
    </w:p>
    <w:p>
      <w:pPr>
        <w:pStyle w:val="ListBullet"/>
      </w:pPr>
      <w:r>
        <w:t>site.post_login_actions：控制页面动作与三类业务流程的执行顺序。</w:t>
      </w:r>
    </w:p>
    <w:p>
      <w:pPr>
        <w:pStyle w:val="ListBullet"/>
      </w:pPr>
      <w:r>
        <w:t>browser.headless：是否隐藏浏览器；当前为 false，便于登录与排障。</w:t>
      </w:r>
    </w:p>
    <w:p>
      <w:pPr>
        <w:pStyle w:val="ListBullet"/>
      </w:pPr>
      <w:r>
        <w:t>browser.pause_after_run：正式流程为 false，任务结束自动关闭。</w:t>
      </w:r>
    </w:p>
    <w:p>
      <w:pPr>
        <w:pStyle w:val="ListBullet"/>
      </w:pPr>
      <w:r>
        <w:t>reporting.dictionary_sheets：固定为 CPUV底表。</w:t>
      </w:r>
    </w:p>
    <w:p>
      <w:pPr>
        <w:pStyle w:val="ListBullet"/>
      </w:pPr>
      <w:r>
        <w:t>reporting.project_order：控制最终 Excel 项目顺序。</w:t>
      </w:r>
    </w:p>
    <w:p>
      <w:pPr>
        <w:pStyle w:val="ListBullet"/>
      </w:pPr>
      <w:r>
        <w:t>reporting.start_date：控制报表起始日期，当前为 2026-08-09。</w:t>
      </w:r>
    </w:p>
    <w:p>
      <w:pPr>
        <w:pStyle w:val="Heading1"/>
      </w:pPr>
      <w:r>
        <w:t>9. 异常处理与安全</w:t>
      </w:r>
    </w:p>
    <w:p>
      <w:pPr>
        <w:pStyle w:val="ListBullet"/>
      </w:pPr>
      <w:r>
        <w:t>选择器、日期确认、下载超时、金额解析或字典字段异常时立即抛出明确错误并记录日志。</w:t>
      </w:r>
    </w:p>
    <w:p>
      <w:pPr>
        <w:pStyle w:val="ListBullet"/>
      </w:pPr>
      <w:r>
        <w:t>下载文件保存后检查文件存在且大小非零。</w:t>
      </w:r>
    </w:p>
    <w:p>
      <w:pPr>
        <w:pStyle w:val="ListBullet"/>
      </w:pPr>
      <w:r>
        <w:t>最终 Excel 被打开锁定时，自动生成带时间后缀的新文件，避免覆盖失败。</w:t>
      </w:r>
    </w:p>
    <w:p>
      <w:pPr>
        <w:pStyle w:val="ListBullet"/>
      </w:pPr>
      <w:r>
        <w:t>runtime、output、logs、登录状态、CSV、业务字典等数据文件均不提交 Git。</w:t>
      </w:r>
    </w:p>
    <w:p>
      <w:pPr>
        <w:pStyle w:val="ListBullet"/>
      </w:pPr>
      <w:r>
        <w:t>不得绕过验证码或访问控制；采集范围应符合账号权限及平台规则。</w:t>
      </w:r>
    </w:p>
    <w:p>
      <w:pPr>
        <w:pStyle w:val="Heading1"/>
      </w:pPr>
      <w:r>
        <w:t>10. 验收结果</w:t>
      </w:r>
    </w:p>
    <w:p>
      <w:pPr>
        <w:pStyle w:val="ListBullet"/>
      </w:pPr>
      <w:r>
        <w:t>六个目标项目均已完成实际页面导航验证。</w:t>
      </w:r>
    </w:p>
    <w:p>
      <w:pPr>
        <w:pStyle w:val="ListBullet"/>
      </w:pPr>
      <w:r>
        <w:t>四个标准项目 GMV 提取通过，缺失值识别通过。</w:t>
      </w:r>
    </w:p>
    <w:p>
      <w:pPr>
        <w:pStyle w:val="ListBullet"/>
      </w:pPr>
      <w:r>
        <w:t>七月内容维度报表生成、下载、CPUV底表匹配及 GMV 汇总通过。</w:t>
      </w:r>
    </w:p>
    <w:p>
      <w:pPr>
        <w:pStyle w:val="ListBullet"/>
      </w:pPr>
      <w:r>
        <w:t>特殊视频项目顶部日期、30天归因与异步 GMV 刷新等待通过。</w:t>
      </w:r>
    </w:p>
    <w:p>
      <w:pPr>
        <w:pStyle w:val="ListBullet"/>
      </w:pPr>
      <w:r>
        <w:t>完整端到端流程退出码为 0，登录确认后无额外人工暂停。</w:t>
      </w:r>
    </w:p>
    <w:p>
      <w:pPr>
        <w:pStyle w:val="ListBullet"/>
      </w:pPr>
      <w:r>
        <w:t>最终 Excel 标题、时间维度、项目顺序、金额格式和空白缺失值均已验证。</w:t>
      </w:r>
    </w:p>
    <w:p>
      <w:pPr>
        <w:pStyle w:val="Heading1"/>
      </w:pPr>
      <w:r>
        <w:t>11. 维护建议</w:t>
      </w:r>
    </w:p>
    <w:p>
      <w:pPr>
        <w:pStyle w:val="ListBullet"/>
      </w:pPr>
      <w:r>
        <w:t>平台页面升级后优先维护业务语义属性、文本锚点和模块作用域，避免依赖动态样式类。</w:t>
      </w:r>
    </w:p>
    <w:p>
      <w:pPr>
        <w:pStyle w:val="ListBullet"/>
      </w:pPr>
      <w:r>
        <w:t>更换日报文件时同步更新 config.yaml 中 dictionary_file，并确认 CPUV底表及笔记/素材ID列存在。</w:t>
      </w:r>
    </w:p>
    <w:p>
      <w:pPr>
        <w:pStyle w:val="ListBullet"/>
      </w:pPr>
      <w:r>
        <w:t>定期清理 output、logs 与 runtime 中的历史文件，但保留必要审计备份。</w:t>
      </w:r>
    </w:p>
    <w:p>
      <w:pPr>
        <w:pStyle w:val="ListBullet"/>
      </w:pPr>
      <w:r>
        <w:t>正式交付前可使用 PyInstaller --onedir 打包，并一并配置 Playwright Chromium。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