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Московский государственный университет им. М. В. Ломоносова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Физический факультет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Кафедра математического моделирования и информатики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Предсказывание курса котировок ценных бумаг на длительное время с помощью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LSTM.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Курсовая работа по физике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студента 335 группы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Клиентова Григория Алексеевича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Научный руководитель: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д. ф.-м. н., профессор П. В. Голубцов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Москва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6"/>
            <w:suppressLineNumbers/>
            <w:ind w:left="0" w:right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rStyle w:val="Style8"/>
            </w:rPr>
            <w:instrText xml:space="preserve"> TOC \f \o "1-9" \h</w:instrText>
          </w:r>
          <w:r>
            <w:rPr>
              <w:rStyle w:val="Style8"/>
            </w:rPr>
            <w:fldChar w:fldCharType="separate"/>
          </w:r>
          <w:hyperlink w:anchor="__RefHeading___Toc295_551377922">
            <w:r>
              <w:rPr>
                <w:rStyle w:val="Style8"/>
              </w:rPr>
              <w:t>1. Введение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233_1040938147">
            <w:r>
              <w:rPr>
                <w:rStyle w:val="Style8"/>
              </w:rPr>
              <w:t>2. Цель работы</w:t>
              <w:tab/>
              <w:t>3</w:t>
            </w:r>
          </w:hyperlink>
        </w:p>
        <w:p>
          <w:pPr>
            <w:pStyle w:val="11"/>
            <w:rPr/>
          </w:pPr>
          <w:hyperlink w:anchor="__RefHeading___Toc235_1040938147">
            <w:r>
              <w:rPr>
                <w:rStyle w:val="Style8"/>
              </w:rPr>
              <w:t>3. Рассмотренный датасет</w:t>
              <w:tab/>
              <w:t>3</w:t>
            </w:r>
          </w:hyperlink>
        </w:p>
        <w:p>
          <w:pPr>
            <w:pStyle w:val="11"/>
            <w:rPr/>
          </w:pPr>
          <w:hyperlink w:anchor="__RefHeading___Toc237_1040938147">
            <w:r>
              <w:rPr>
                <w:rStyle w:val="Style8"/>
              </w:rPr>
              <w:t>4. Использование LSTM</w:t>
              <w:tab/>
              <w:t>4</w:t>
            </w:r>
          </w:hyperlink>
        </w:p>
        <w:p>
          <w:pPr>
            <w:pStyle w:val="21"/>
            <w:rPr/>
          </w:pPr>
          <w:hyperlink w:anchor="__RefHeading___Toc239_1040938147">
            <w:r>
              <w:rPr>
                <w:rStyle w:val="Style8"/>
              </w:rPr>
              <w:t>4.1 Единичный выход модели</w:t>
              <w:tab/>
              <w:t>4</w:t>
            </w:r>
          </w:hyperlink>
        </w:p>
        <w:p>
          <w:pPr>
            <w:pStyle w:val="21"/>
            <w:rPr/>
          </w:pPr>
          <w:hyperlink w:anchor="__RefHeading___Toc264_1204153804">
            <w:r>
              <w:rPr>
                <w:rStyle w:val="Style8"/>
              </w:rPr>
              <w:t>4.2 Случай предсказания дальше, чем на 1 свечку</w:t>
              <w:tab/>
              <w:t>7</w:t>
            </w:r>
          </w:hyperlink>
        </w:p>
        <w:p>
          <w:pPr>
            <w:pStyle w:val="21"/>
            <w:rPr/>
          </w:pPr>
          <w:hyperlink w:anchor="__RefHeading___Toc241_1040938147">
            <w:r>
              <w:rPr>
                <w:rStyle w:val="Style8"/>
              </w:rPr>
              <w:t>4.3 Случай комбинации нескольких моделей</w:t>
              <w:tab/>
              <w:t>8</w:t>
            </w:r>
          </w:hyperlink>
        </w:p>
        <w:p>
          <w:pPr>
            <w:pStyle w:val="11"/>
            <w:rPr/>
          </w:pPr>
          <w:hyperlink w:anchor="__RefHeading___Toc260_1204153804">
            <w:r>
              <w:rPr>
                <w:rStyle w:val="Style8"/>
              </w:rPr>
              <w:t>5. Анализ полученных результатов</w:t>
              <w:tab/>
              <w:t>9</w:t>
            </w:r>
          </w:hyperlink>
        </w:p>
        <w:p>
          <w:pPr>
            <w:pStyle w:val="11"/>
            <w:rPr/>
          </w:pPr>
          <w:hyperlink w:anchor="__RefHeading___Toc262_1204153804">
            <w:r>
              <w:rPr>
                <w:rStyle w:val="Style8"/>
              </w:rPr>
              <w:t>6. Заключение</w:t>
              <w:tab/>
              <w:t>9</w:t>
            </w:r>
          </w:hyperlink>
        </w:p>
        <w:p>
          <w:pPr>
            <w:pStyle w:val="11"/>
            <w:rPr/>
          </w:pPr>
          <w:hyperlink w:anchor="__RefHeading___Toc262_12041538041">
            <w:r>
              <w:rPr>
                <w:rStyle w:val="Style8"/>
              </w:rPr>
              <w:t>7. Литература</w:t>
              <w:tab/>
              <w:t>10</w:t>
            </w:r>
          </w:hyperlink>
        </w:p>
        <w:p>
          <w:pPr>
            <w:pStyle w:val="11"/>
            <w:rPr/>
          </w:pPr>
          <w:hyperlink w:anchor="__RefHeading___Toc262_120415380411">
            <w:r>
              <w:rPr>
                <w:rStyle w:val="Style8"/>
              </w:rPr>
              <w:t>8. Приложение</w:t>
              <w:tab/>
              <w:t>10</w:t>
            </w:r>
          </w:hyperlink>
          <w:r>
            <w:rPr>
              <w:rStyle w:val="Style8"/>
            </w:rPr>
            <w:fldChar w:fldCharType="end"/>
          </w:r>
        </w:p>
      </w:sdtContent>
    </w:sdt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1"/>
        <w:numPr>
          <w:ilvl w:val="0"/>
          <w:numId w:val="0"/>
        </w:numPr>
        <w:bidi w:val="0"/>
        <w:ind w:left="360" w:hanging="0"/>
        <w:jc w:val="left"/>
        <w:rPr/>
      </w:pPr>
      <w:bookmarkStart w:id="0" w:name="__RefHeading___Toc295_551377922"/>
      <w:bookmarkEnd w:id="0"/>
      <w:r>
        <w:rPr>
          <w:rFonts w:ascii="Times New Roman" w:hAnsi="Times New Roman"/>
          <w:sz w:val="32"/>
          <w:szCs w:val="32"/>
          <w:lang w:val="en-US"/>
        </w:rPr>
        <w:t xml:space="preserve">1. </w:t>
      </w:r>
      <w:r>
        <w:rPr>
          <w:rFonts w:ascii="Times New Roman" w:hAnsi="Times New Roman"/>
          <w:sz w:val="32"/>
          <w:szCs w:val="32"/>
        </w:rPr>
        <w:t>Введение</w:t>
      </w:r>
    </w:p>
    <w:p>
      <w:pPr>
        <w:pStyle w:val="Style11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современном мире финансовых инвестиций, предсказание курса котировок акций является одной из важнейших задач для инвесторов и трейдеров. Сложность этой задачи заключается в том, что цены на акции зависят от многих факторов, включая экономические, политические и социальные изменения. Однако, с помощью глубокого обучения и рекуррентных нейронных сетей, таких как LSTM, возможно создать модели, которые могут предсказывать будущие цены на акции с высокой точностью, основываясь лишь на предыдущих данных о котировке бумаги, игнорируя все остальные косвенные признаки влияющие на цену бумаги. В данной курсовой работе мы рассмотрим применение LSTM для предсказания курса котировок акций на длительный промежуток времени и проанализируем результаты моделирования.</w:t>
      </w:r>
    </w:p>
    <w:p>
      <w:pPr>
        <w:pStyle w:val="1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</w:rPr>
      </w:pPr>
      <w:bookmarkStart w:id="1" w:name="__RefHeading___Toc233_1040938147"/>
      <w:bookmarkEnd w:id="1"/>
      <w:r>
        <w:rPr>
          <w:rFonts w:ascii="Times New Roman" w:hAnsi="Times New Roman"/>
          <w:sz w:val="32"/>
          <w:szCs w:val="32"/>
        </w:rPr>
        <w:t>2. Цель работы</w:t>
      </w:r>
    </w:p>
    <w:p>
      <w:pPr>
        <w:pStyle w:val="Style11"/>
        <w:numPr>
          <w:ilvl w:val="0"/>
          <w:numId w:val="2"/>
        </w:numPr>
        <w:bidi w:val="0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Реализовать модель </w:t>
      </w:r>
      <w:r>
        <w:rPr>
          <w:rFonts w:ascii="Times New Roman" w:hAnsi="Times New Roman"/>
          <w:sz w:val="28"/>
          <w:szCs w:val="28"/>
          <w:lang w:val="en-US"/>
        </w:rPr>
        <w:t xml:space="preserve">LSTM </w:t>
      </w:r>
      <w:r>
        <w:rPr>
          <w:rFonts w:ascii="Times New Roman" w:hAnsi="Times New Roman"/>
          <w:sz w:val="28"/>
          <w:szCs w:val="28"/>
          <w:lang w:val="ru-RU"/>
        </w:rPr>
        <w:t>для прогнозирования курса котировок ценных бумаг</w:t>
      </w:r>
    </w:p>
    <w:p>
      <w:pPr>
        <w:pStyle w:val="Style11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Рассмотреть случай компиляции нескольких моделей для прогнозирования временного ряда на длительный промежуток времени</w:t>
      </w:r>
    </w:p>
    <w:p>
      <w:pPr>
        <w:pStyle w:val="1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</w:rPr>
      </w:pPr>
      <w:bookmarkStart w:id="2" w:name="__RefHeading___Toc235_1040938147"/>
      <w:bookmarkEnd w:id="2"/>
      <w:r>
        <w:rPr>
          <w:rFonts w:ascii="Times New Roman" w:hAnsi="Times New Roman"/>
          <w:sz w:val="32"/>
          <w:szCs w:val="32"/>
          <w:lang w:val="en-US"/>
        </w:rPr>
        <w:t>3. Р</w:t>
      </w:r>
      <w:r>
        <w:rPr>
          <w:rFonts w:ascii="Times New Roman" w:hAnsi="Times New Roman"/>
          <w:sz w:val="32"/>
          <w:szCs w:val="32"/>
          <w:lang w:val="ru-RU"/>
        </w:rPr>
        <w:t>ассмотренный датасет</w:t>
      </w:r>
    </w:p>
    <w:p>
      <w:pPr>
        <w:pStyle w:val="Style11"/>
        <w:bidi w:val="0"/>
        <w:spacing w:lineRule="auto" w:line="360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В качестве датасета был взяты данные акций «Сбер» (</w:t>
      </w:r>
      <w:r>
        <w:rPr>
          <w:rFonts w:ascii="Times New Roman" w:hAnsi="Times New Roman"/>
          <w:sz w:val="28"/>
          <w:szCs w:val="28"/>
          <w:lang w:val="en-US"/>
        </w:rPr>
        <w:t>figi</w:t>
      </w:r>
      <w:r>
        <w:rPr>
          <w:rFonts w:ascii="Times New Roman" w:hAnsi="Times New Roman"/>
          <w:sz w:val="28"/>
          <w:szCs w:val="28"/>
        </w:rPr>
        <w:t xml:space="preserve"> -BBG004730N88) на отрезке 180 дней с 1 января 2023 года по </w:t>
      </w:r>
      <w:r>
        <w:rPr>
          <w:rFonts w:ascii="Times New Roman" w:hAnsi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/>
          <w:sz w:val="28"/>
          <w:szCs w:val="28"/>
          <w:lang w:val="ru-RU"/>
        </w:rPr>
        <w:t>апреля 2023 года свечками с шагом в 1 минуту, так как именно на этом отрезке не присутствовало серьезных всплесков, обусловленных воздействием внешних факторов на рынок (политические, социальные и т. п.). Были рассмотрены значения цены открытия, закрытия, максимальной и минимальной цены, а также объем торгов. Для учета сезонной составляющей в последовательности, были добавлены также метки дня недели и времени суток в виде синусоиды с соответствующим периодом, таким образом элементами временного ряда являются векторы с размерностью 7. Все параметры были нормализованы.</w:t>
      </w:r>
    </w:p>
    <w:p>
      <w:pPr>
        <w:pStyle w:val="Style11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>
            <wp:extent cx="6120130" cy="40798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0"/>
        </w:numPr>
        <w:bidi w:val="0"/>
        <w:ind w:left="360" w:hanging="0"/>
        <w:jc w:val="left"/>
        <w:rPr>
          <w:sz w:val="32"/>
          <w:szCs w:val="32"/>
        </w:rPr>
      </w:pPr>
      <w:bookmarkStart w:id="3" w:name="__RefHeading___Toc237_1040938147"/>
      <w:bookmarkEnd w:id="3"/>
      <w:r>
        <w:rPr>
          <w:rFonts w:ascii="Times New Roman" w:hAnsi="Times New Roman"/>
          <w:sz w:val="32"/>
          <w:szCs w:val="32"/>
        </w:rPr>
        <w:t xml:space="preserve">4. Использование </w:t>
      </w:r>
      <w:r>
        <w:rPr>
          <w:rFonts w:ascii="Times New Roman" w:hAnsi="Times New Roman"/>
          <w:sz w:val="32"/>
          <w:szCs w:val="32"/>
          <w:lang w:val="en-US"/>
        </w:rPr>
        <w:t>LSTM</w:t>
      </w:r>
    </w:p>
    <w:p>
      <w:pPr>
        <w:pStyle w:val="Style11"/>
        <w:bidi w:val="0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 рамках данной работы было рассмотрено 3 случая использования </w:t>
      </w:r>
      <w:r>
        <w:rPr>
          <w:rFonts w:ascii="Times New Roman" w:hAnsi="Times New Roman"/>
          <w:sz w:val="28"/>
          <w:szCs w:val="28"/>
          <w:lang w:val="en-US"/>
        </w:rPr>
        <w:t>LSTM:</w:t>
      </w:r>
    </w:p>
    <w:p>
      <w:pPr>
        <w:pStyle w:val="Style11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В качестве выхода модели берется одно значение — цена закрытия свечки в период времени, следующим за последовательностью, поданной на вход</w:t>
      </w:r>
    </w:p>
    <w:p>
      <w:pPr>
        <w:pStyle w:val="Style11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В качестве выхода модели берется последовательность фиксированной длины (меньшей, чем входная), следующая после входной, состоящая из значений цены закрытия.</w:t>
      </w:r>
    </w:p>
    <w:p>
      <w:pPr>
        <w:pStyle w:val="Style11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Взяты несколько моделей, каждая из которой предсказывает лишь одно значение цены закрытия, однако это значение относится не к точке времени, сразу следующей за входной последовательностью, а с некоторым отступом от конца входной последовательности. </w:t>
      </w:r>
    </w:p>
    <w:p>
      <w:pPr>
        <w:pStyle w:val="2"/>
        <w:numPr>
          <w:ilvl w:val="1"/>
          <w:numId w:val="1"/>
        </w:numPr>
        <w:bidi w:val="0"/>
        <w:jc w:val="left"/>
        <w:rPr>
          <w:sz w:val="32"/>
          <w:szCs w:val="32"/>
        </w:rPr>
      </w:pPr>
      <w:bookmarkStart w:id="4" w:name="__RefHeading___Toc239_1040938147"/>
      <w:bookmarkEnd w:id="4"/>
      <w:r>
        <w:rPr>
          <w:rFonts w:ascii="Times New Roman" w:hAnsi="Times New Roman"/>
          <w:sz w:val="32"/>
          <w:szCs w:val="32"/>
          <w:lang w:val="ru-RU"/>
        </w:rPr>
        <w:t>4.1 Единичный выход модели</w:t>
      </w:r>
    </w:p>
    <w:p>
      <w:pPr>
        <w:pStyle w:val="Style11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 данном случае используется следующая архитектура </w:t>
      </w:r>
      <w:r>
        <w:rPr>
          <w:rFonts w:ascii="Times New Roman" w:hAnsi="Times New Roman"/>
          <w:sz w:val="28"/>
          <w:szCs w:val="28"/>
          <w:lang w:val="en-US"/>
        </w:rPr>
        <w:t>LSTM-</w:t>
      </w:r>
      <w:r>
        <w:rPr>
          <w:rFonts w:ascii="Times New Roman" w:hAnsi="Times New Roman"/>
          <w:sz w:val="28"/>
          <w:szCs w:val="28"/>
          <w:lang w:val="ru-RU"/>
        </w:rPr>
        <w:t>модели, состоящая из 4 слоев:</w:t>
      </w:r>
    </w:p>
    <w:p>
      <w:pPr>
        <w:pStyle w:val="Style11"/>
        <w:numPr>
          <w:ilvl w:val="0"/>
          <w:numId w:val="3"/>
        </w:numPr>
        <w:bidi w:val="0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LSTM </w:t>
      </w:r>
      <w:r>
        <w:rPr>
          <w:rFonts w:ascii="Times New Roman" w:hAnsi="Times New Roman"/>
          <w:sz w:val="28"/>
          <w:szCs w:val="28"/>
          <w:lang w:val="ru-RU"/>
        </w:rPr>
        <w:t>слой с размерностью выхода 128</w:t>
      </w:r>
    </w:p>
    <w:p>
      <w:pPr>
        <w:pStyle w:val="Style11"/>
        <w:numPr>
          <w:ilvl w:val="0"/>
          <w:numId w:val="3"/>
        </w:numPr>
        <w:bidi w:val="0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LSTM слой с размерностью выхода 128</w:t>
      </w:r>
    </w:p>
    <w:p>
      <w:pPr>
        <w:pStyle w:val="Style11"/>
        <w:numPr>
          <w:ilvl w:val="0"/>
          <w:numId w:val="3"/>
        </w:numPr>
        <w:bidi w:val="0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LSTM слой с размерностью выхода 6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>
      <w:pPr>
        <w:pStyle w:val="Style11"/>
        <w:bidi w:val="0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Оптимизатор — </w:t>
      </w:r>
      <w:r>
        <w:rPr>
          <w:rFonts w:ascii="Times New Roman" w:hAnsi="Times New Roman"/>
          <w:sz w:val="28"/>
          <w:szCs w:val="28"/>
          <w:lang w:val="en-US"/>
        </w:rPr>
        <w:t xml:space="preserve">Adam, </w:t>
      </w:r>
      <w:r>
        <w:rPr>
          <w:rFonts w:ascii="Times New Roman" w:hAnsi="Times New Roman"/>
          <w:sz w:val="28"/>
          <w:szCs w:val="28"/>
          <w:lang w:val="ru-RU"/>
        </w:rPr>
        <w:t xml:space="preserve">целевая функция — ошибка </w:t>
      </w:r>
      <w:r>
        <w:rPr>
          <w:rFonts w:ascii="Times New Roman" w:hAnsi="Times New Roman"/>
          <w:sz w:val="28"/>
          <w:szCs w:val="28"/>
          <w:lang w:val="en-US"/>
        </w:rPr>
        <w:t xml:space="preserve">MSE. </w:t>
      </w:r>
      <w:r>
        <w:rPr>
          <w:rFonts w:ascii="Times New Roman" w:hAnsi="Times New Roman"/>
          <w:sz w:val="28"/>
          <w:szCs w:val="28"/>
          <w:lang w:val="ru-RU"/>
        </w:rPr>
        <w:t>Обучение проводилось на 25 эпохах. Размер входной последовательности — 300 свечек, что соответствует 300 минутам.</w:t>
      </w:r>
    </w:p>
    <w:p>
      <w:pPr>
        <w:pStyle w:val="Style11"/>
        <w:bidi w:val="0"/>
        <w:spacing w:lineRule="auto" w:line="360"/>
        <w:jc w:val="both"/>
        <w:rPr>
          <w:lang w:val="ru-RU"/>
        </w:rPr>
      </w:pPr>
      <w:r>
        <w:rPr/>
        <w:drawing>
          <wp:inline distT="0" distB="0" distL="0" distR="0">
            <wp:extent cx="6120130" cy="4450715"/>
            <wp:effectExtent l="0" t="0" r="0" b="0"/>
            <wp:docPr id="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1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1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1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1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1"/>
        <w:bidi w:val="0"/>
        <w:spacing w:lineRule="auto" w:line="360"/>
        <w:jc w:val="both"/>
        <w:rPr>
          <w:lang w:val="ru-RU"/>
        </w:rPr>
      </w:pPr>
      <w:r>
        <w:rPr/>
        <w:drawing>
          <wp:inline distT="0" distB="0" distL="0" distR="0">
            <wp:extent cx="6120130" cy="6120130"/>
            <wp:effectExtent l="0" t="0" r="0" b="0"/>
            <wp:docPr id="3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1"/>
        <w:bidi w:val="0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 видно из графиков, модель хорошо повторяет динамику последовательности, а также все экстремумы, что хорошо подходит для формирования трейдерских стратегий, основанных на покупке/продаже активов именно в точках экстремума, однако заметно неравномерное отклонение от истинного курса, поэтому такой моделью сложно предсказывать дальше, чем на 1 минуту (длительность свечки). Чтобы исправить данную проблему, были реализованы следующие модели.</w:t>
      </w:r>
    </w:p>
    <w:p>
      <w:pPr>
        <w:pStyle w:val="Style11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bookmarkStart w:id="5" w:name="__RefHeading___Toc264_1204153804"/>
      <w:bookmarkEnd w:id="5"/>
      <w:r>
        <w:rPr>
          <w:rFonts w:ascii="Times New Roman" w:hAnsi="Times New Roman"/>
          <w:sz w:val="32"/>
          <w:szCs w:val="32"/>
          <w:lang w:val="en-US"/>
        </w:rPr>
        <w:t xml:space="preserve">4.2 </w:t>
      </w:r>
      <w:r>
        <w:rPr>
          <w:rFonts w:ascii="Times New Roman" w:hAnsi="Times New Roman"/>
          <w:sz w:val="32"/>
          <w:szCs w:val="32"/>
          <w:lang w:val="ru-RU"/>
        </w:rPr>
        <w:t>Случай предсказания дальше, чем на 1 свечку</w:t>
      </w:r>
    </w:p>
    <w:p>
      <w:pPr>
        <w:pStyle w:val="Style11"/>
        <w:bidi w:val="0"/>
        <w:jc w:val="left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Попробуем потребовать от модели предсказание последовательности, следующей за входной. Размер входной последовательности был оставлен так же равным 300 свечкам, а размер выходной — 50. Архитектура самой модели также взята аналогично первому случаю, как и количество эпох.</w:t>
      </w:r>
    </w:p>
    <w:p>
      <w:pPr>
        <w:pStyle w:val="Style11"/>
        <w:bidi w:val="0"/>
        <w:jc w:val="left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6120130" cy="6120130"/>
            <wp:effectExtent l="0" t="0" r="0" b="0"/>
            <wp:docPr id="4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Как можно наблюдать, при случае выхода нейронной сети в виде последовательности, результат оказывается даже хуже, чем при случае предсказания лишь на 1 свечку вперед, что делает данную модель неприменимой для данной задачи.</w:t>
      </w:r>
    </w:p>
    <w:p>
      <w:pPr>
        <w:pStyle w:val="Style11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2"/>
        <w:numPr>
          <w:ilvl w:val="0"/>
          <w:numId w:val="0"/>
        </w:numPr>
        <w:bidi w:val="0"/>
        <w:ind w:left="360" w:hanging="0"/>
        <w:jc w:val="left"/>
        <w:rPr>
          <w:sz w:val="32"/>
          <w:szCs w:val="32"/>
        </w:rPr>
      </w:pPr>
      <w:bookmarkStart w:id="6" w:name="__RefHeading___Toc241_1040938147"/>
      <w:bookmarkEnd w:id="6"/>
      <w:r>
        <w:rPr>
          <w:rFonts w:ascii="Times New Roman" w:hAnsi="Times New Roman"/>
          <w:sz w:val="32"/>
          <w:szCs w:val="32"/>
          <w:lang w:val="ru-RU"/>
        </w:rPr>
        <w:t>4.</w:t>
      </w:r>
      <w:r>
        <w:rPr>
          <w:rFonts w:ascii="Times New Roman" w:hAnsi="Times New Roman"/>
          <w:sz w:val="32"/>
          <w:szCs w:val="32"/>
          <w:lang w:val="en-US"/>
        </w:rPr>
        <w:t>3</w:t>
      </w:r>
      <w:r>
        <w:rPr>
          <w:rFonts w:ascii="Times New Roman" w:hAnsi="Times New Roman"/>
          <w:sz w:val="32"/>
          <w:szCs w:val="32"/>
          <w:lang w:val="ru-RU"/>
        </w:rPr>
        <w:t xml:space="preserve"> Случай комбинации нескольких моделей</w:t>
      </w:r>
    </w:p>
    <w:p>
      <w:pPr>
        <w:pStyle w:val="Style11"/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Благодаря хорошими результатам модели, возвращающей прогноз лишь по одной свечке, была предложена идея совместить несколько моделей, чтобы получать прогноз дальше, чем на 1 свечку вперёд. В данном случае были сгенерированы 20 моделей </w:t>
      </w:r>
      <w:r>
        <w:rPr>
          <w:rFonts w:ascii="Times New Roman" w:hAnsi="Times New Roman"/>
          <w:sz w:val="28"/>
          <w:szCs w:val="28"/>
          <w:lang w:val="en-US"/>
        </w:rPr>
        <w:t xml:space="preserve">LSTM </w:t>
      </w:r>
      <w:r>
        <w:rPr>
          <w:rFonts w:ascii="Times New Roman" w:hAnsi="Times New Roman"/>
          <w:sz w:val="28"/>
          <w:szCs w:val="28"/>
          <w:lang w:val="ru-RU"/>
        </w:rPr>
        <w:t>со следующей архитектурой:</w:t>
      </w:r>
    </w:p>
    <w:p>
      <w:pPr>
        <w:pStyle w:val="Style11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Слой </w:t>
      </w:r>
      <w:r>
        <w:rPr>
          <w:rFonts w:ascii="Times New Roman" w:hAnsi="Times New Roman"/>
          <w:sz w:val="28"/>
          <w:szCs w:val="28"/>
          <w:lang w:val="en-US"/>
        </w:rPr>
        <w:t xml:space="preserve">LSTM </w:t>
      </w:r>
      <w:r>
        <w:rPr>
          <w:rFonts w:ascii="Times New Roman" w:hAnsi="Times New Roman"/>
          <w:sz w:val="28"/>
          <w:szCs w:val="28"/>
          <w:lang w:val="ru-RU"/>
        </w:rPr>
        <w:t>с количеством выходов 64</w:t>
      </w:r>
    </w:p>
    <w:p>
      <w:pPr>
        <w:pStyle w:val="Style11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Слой </w:t>
      </w:r>
      <w:r>
        <w:rPr>
          <w:rFonts w:ascii="Times New Roman" w:hAnsi="Times New Roman"/>
          <w:sz w:val="28"/>
          <w:szCs w:val="28"/>
          <w:lang w:val="en-US"/>
        </w:rPr>
        <w:t xml:space="preserve">LSTM </w:t>
      </w:r>
      <w:r>
        <w:rPr>
          <w:rFonts w:ascii="Times New Roman" w:hAnsi="Times New Roman"/>
          <w:sz w:val="28"/>
          <w:szCs w:val="28"/>
          <w:lang w:val="ru-RU"/>
        </w:rPr>
        <w:t>с количеством выходов 64</w:t>
      </w:r>
    </w:p>
    <w:p>
      <w:pPr>
        <w:pStyle w:val="Style11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Выходной слой </w:t>
      </w:r>
      <w:r>
        <w:rPr>
          <w:rFonts w:ascii="Times New Roman" w:hAnsi="Times New Roman"/>
          <w:sz w:val="28"/>
          <w:szCs w:val="28"/>
          <w:lang w:val="en-US"/>
        </w:rPr>
        <w:t xml:space="preserve">LSTM </w:t>
      </w:r>
      <w:r>
        <w:rPr>
          <w:rFonts w:ascii="Times New Roman" w:hAnsi="Times New Roman"/>
          <w:sz w:val="28"/>
          <w:szCs w:val="28"/>
          <w:lang w:val="ru-RU"/>
        </w:rPr>
        <w:t>с количеством выходов 32</w:t>
      </w:r>
    </w:p>
    <w:p>
      <w:pPr>
        <w:pStyle w:val="Style11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Оптимизатор — </w:t>
      </w:r>
      <w:r>
        <w:rPr>
          <w:rFonts w:ascii="Times New Roman" w:hAnsi="Times New Roman"/>
          <w:sz w:val="28"/>
          <w:szCs w:val="28"/>
          <w:lang w:val="en-US"/>
        </w:rPr>
        <w:t xml:space="preserve">Adam, </w:t>
      </w:r>
      <w:r>
        <w:rPr>
          <w:rFonts w:ascii="Times New Roman" w:hAnsi="Times New Roman"/>
          <w:sz w:val="28"/>
          <w:szCs w:val="28"/>
          <w:lang w:val="ru-RU"/>
        </w:rPr>
        <w:t xml:space="preserve">целевая функция — ошибка </w:t>
      </w:r>
      <w:r>
        <w:rPr>
          <w:rFonts w:ascii="Times New Roman" w:hAnsi="Times New Roman"/>
          <w:sz w:val="28"/>
          <w:szCs w:val="28"/>
          <w:lang w:val="en-US"/>
        </w:rPr>
        <w:t xml:space="preserve">MSE, </w:t>
      </w:r>
      <w:r>
        <w:rPr>
          <w:rFonts w:ascii="Times New Roman" w:hAnsi="Times New Roman"/>
          <w:sz w:val="28"/>
          <w:szCs w:val="28"/>
          <w:lang w:val="ru-RU"/>
        </w:rPr>
        <w:t>количество эпох — 20. Каждая из моделей независимо от других предсказывает цену закрытия через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минут после входной последовательности. Это число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соответствует номеру модели по счету. Таким образом, когда мы подаем одну и ту же входную последовательность на каждую из моделей, мы можем получить предсказанную последовательность на</w:t>
      </w:r>
      <w:r>
        <w:rPr>
          <w:rFonts w:ascii="Times New Roman" w:hAnsi="Times New Roman"/>
          <w:sz w:val="28"/>
          <w:szCs w:val="28"/>
          <w:lang w:val="en-US"/>
        </w:rPr>
        <w:t xml:space="preserve"> 20 </w:t>
      </w:r>
      <w:r>
        <w:rPr>
          <w:rFonts w:ascii="Times New Roman" w:hAnsi="Times New Roman"/>
          <w:sz w:val="28"/>
          <w:szCs w:val="28"/>
          <w:lang w:val="ru-RU"/>
        </w:rPr>
        <w:t>свечек вперед, состоящей из выходов каждой из модели. Этот подход хорошо подходит для распараллеливания, и, как следствие, требует меньшее время для обучения всех моделей, чем в случае последовательного обучения.</w:t>
      </w:r>
    </w:p>
    <w:p>
      <w:pPr>
        <w:pStyle w:val="Style11"/>
        <w:bidi w:val="0"/>
        <w:spacing w:lineRule="auto" w:line="360"/>
        <w:jc w:val="both"/>
        <w:rPr>
          <w:lang w:val="ru-RU"/>
        </w:rPr>
      </w:pPr>
      <w:r>
        <w:rPr/>
        <w:drawing>
          <wp:inline distT="0" distB="0" distL="0" distR="0">
            <wp:extent cx="6120130" cy="4450715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Однако, как видно, результат получился неудовлетворительным. Составная модель плохо предсказывает далее, чем на 1 свечку вперед. Это может быть объяснено тем, что обычная </w:t>
      </w:r>
      <w:r>
        <w:rPr>
          <w:rFonts w:ascii="Times New Roman" w:hAnsi="Times New Roman"/>
          <w:sz w:val="28"/>
          <w:szCs w:val="28"/>
          <w:lang w:val="en-US"/>
        </w:rPr>
        <w:t xml:space="preserve">LSTM </w:t>
      </w:r>
      <w:r>
        <w:rPr>
          <w:rFonts w:ascii="Times New Roman" w:hAnsi="Times New Roman"/>
          <w:sz w:val="28"/>
          <w:szCs w:val="28"/>
          <w:lang w:val="ru-RU"/>
        </w:rPr>
        <w:t>плохо предсказывает значение на несколько свечек дальше окончания входной последовательности</w:t>
      </w:r>
    </w:p>
    <w:p>
      <w:pPr>
        <w:pStyle w:val="1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</w:rPr>
      </w:pPr>
      <w:bookmarkStart w:id="7" w:name="__RefHeading___Toc260_1204153804"/>
      <w:bookmarkEnd w:id="7"/>
      <w:r>
        <w:rPr>
          <w:rFonts w:ascii="Times New Roman" w:hAnsi="Times New Roman"/>
          <w:sz w:val="32"/>
          <w:szCs w:val="32"/>
        </w:rPr>
        <w:t>5. Анализ полученных результатов</w:t>
      </w:r>
    </w:p>
    <w:p>
      <w:pPr>
        <w:pStyle w:val="Style11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Несмотря на хорошие результаты, показанные простой моделью в случае (1), результаты, полученные для задач прогнозирования на длительный срок (2) и (3), оказались неудовлетворительными и плохо повторяли исходную последовательность. Такие результаты можно связать с влиянием внешних факторов на рынок, приводящих к изменению курса, а также малым числом обучающих эпох.</w:t>
      </w:r>
    </w:p>
    <w:p>
      <w:pPr>
        <w:pStyle w:val="1"/>
        <w:numPr>
          <w:ilvl w:val="0"/>
          <w:numId w:val="1"/>
        </w:numPr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bookmarkStart w:id="8" w:name="__RefHeading___Toc262_1204153804"/>
      <w:bookmarkEnd w:id="8"/>
      <w:r>
        <w:rPr>
          <w:rFonts w:ascii="Times New Roman" w:hAnsi="Times New Roman"/>
          <w:sz w:val="32"/>
          <w:szCs w:val="32"/>
          <w:lang w:val="ru-RU"/>
        </w:rPr>
        <w:t>6. Заключение</w:t>
      </w:r>
    </w:p>
    <w:p>
      <w:pPr>
        <w:pStyle w:val="Style11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В результате работы была исследована работа модели </w:t>
      </w:r>
      <w:r>
        <w:rPr>
          <w:rFonts w:ascii="Times New Roman" w:hAnsi="Times New Roman"/>
          <w:sz w:val="28"/>
          <w:szCs w:val="28"/>
          <w:lang w:val="en-US"/>
        </w:rPr>
        <w:t xml:space="preserve">LSTM </w:t>
      </w:r>
      <w:r>
        <w:rPr>
          <w:rFonts w:ascii="Times New Roman" w:hAnsi="Times New Roman"/>
          <w:sz w:val="28"/>
          <w:szCs w:val="28"/>
          <w:lang w:val="ru-RU"/>
        </w:rPr>
        <w:t>на датасете котировок акций Сбера. Были также исследованы методы прогнозирования значений временного ряда на длительное время вперед.</w:t>
      </w:r>
    </w:p>
    <w:p>
      <w:pPr>
        <w:pStyle w:val="Style11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В заключение хочется отметить, что обучение моделей проводились с помощью </w:t>
      </w:r>
      <w:r>
        <w:rPr>
          <w:rFonts w:ascii="Times New Roman" w:hAnsi="Times New Roman"/>
          <w:sz w:val="28"/>
          <w:szCs w:val="28"/>
          <w:lang w:val="en-US"/>
        </w:rPr>
        <w:t xml:space="preserve">Google Collab </w:t>
      </w:r>
      <w:r>
        <w:rPr>
          <w:rFonts w:ascii="Times New Roman" w:hAnsi="Times New Roman"/>
          <w:sz w:val="28"/>
          <w:szCs w:val="28"/>
          <w:lang w:val="ru-RU"/>
        </w:rPr>
        <w:t xml:space="preserve">на видеокартах </w:t>
      </w:r>
      <w:r>
        <w:rPr>
          <w:rFonts w:ascii="Times New Roman" w:hAnsi="Times New Roman"/>
          <w:sz w:val="28"/>
          <w:szCs w:val="28"/>
          <w:lang w:val="en-US"/>
        </w:rPr>
        <w:t>Nvidia Tesla T</w:t>
      </w:r>
      <w:r>
        <w:rPr>
          <w:rFonts w:ascii="Times New Roman" w:hAnsi="Times New Roman"/>
          <w:sz w:val="28"/>
          <w:szCs w:val="28"/>
          <w:lang w:val="ru-RU"/>
        </w:rPr>
        <w:t xml:space="preserve">4, но даже несмотря на это, время обучение одной модели на 20 эпохах занимали примерно 20 минут, что в случае компилирования нескольких моделей (как в случае (3) описанного эксперимента) дает примерно 1 час вычислений. </w:t>
      </w:r>
    </w:p>
    <w:p>
      <w:pPr>
        <w:pStyle w:val="1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sz w:val="32"/>
          <w:szCs w:val="32"/>
          <w:lang w:val="ru-RU"/>
        </w:rPr>
      </w:pPr>
      <w:bookmarkStart w:id="9" w:name="__RefHeading___Toc262_12041538041"/>
      <w:bookmarkEnd w:id="9"/>
      <w:r>
        <w:rPr>
          <w:rFonts w:ascii="Times New Roman" w:hAnsi="Times New Roman"/>
          <w:sz w:val="32"/>
          <w:szCs w:val="32"/>
          <w:lang w:val="ru-RU"/>
        </w:rPr>
        <w:t>7. Литература</w:t>
      </w:r>
    </w:p>
    <w:p>
      <w:pPr>
        <w:pStyle w:val="Style11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ru-RU"/>
        </w:rPr>
        <w:t>М.Л. Кричевский — Временные ряды в менеджменте. ISBN 978-5-4365-0737, DOI 10.15216/978-5-4365-0737-8</w:t>
      </w:r>
    </w:p>
    <w:p>
      <w:pPr>
        <w:pStyle w:val="Style11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en-US"/>
        </w:rPr>
        <w:t>A. Kolonin, A. Glushchenko, A. Fokin, M. Mari, M. Casiraghi, M. Vishwas - Adaptive Predictive Portfolio Management. Arxiv.org</w:t>
      </w:r>
    </w:p>
    <w:p>
      <w:pPr>
        <w:pStyle w:val="Style11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3. Matej Steinbacher – Predicting Stock Price Movement as an Image Classification Problem. Arxiv.org</w:t>
      </w:r>
    </w:p>
    <w:p>
      <w:pPr>
        <w:pStyle w:val="Style11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4. M. Orlov, S. Coulombo – A Deep Reinforcement Learning Trader without offline Training. Arxiv.org</w:t>
      </w:r>
    </w:p>
    <w:p>
      <w:pPr>
        <w:pStyle w:val="1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sz w:val="32"/>
          <w:szCs w:val="32"/>
          <w:lang w:val="ru-RU"/>
        </w:rPr>
      </w:pPr>
      <w:bookmarkStart w:id="10" w:name="__RefHeading___Toc262_120415380411"/>
      <w:bookmarkEnd w:id="10"/>
      <w:r>
        <w:rPr>
          <w:rFonts w:ascii="Times New Roman" w:hAnsi="Times New Roman"/>
          <w:sz w:val="32"/>
          <w:szCs w:val="32"/>
          <w:lang w:val="en-US"/>
        </w:rPr>
        <w:t>8</w:t>
      </w:r>
      <w:r>
        <w:rPr>
          <w:rFonts w:ascii="Times New Roman" w:hAnsi="Times New Roman"/>
          <w:sz w:val="32"/>
          <w:szCs w:val="32"/>
          <w:lang w:val="ru-RU"/>
        </w:rPr>
        <w:t>. Приложение</w:t>
      </w:r>
    </w:p>
    <w:p>
      <w:pPr>
        <w:pStyle w:val="Style11"/>
        <w:bidi w:val="0"/>
        <w:spacing w:lineRule="auto" w:line="360"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С исходными материалами работы можно ознакомиться по ссылке: https://github.com/NOTfedos/course_work_6_sem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>
        <w:sz w:val="32"/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7">
    <w:name w:val="Символ нумерации"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8">
    <w:name w:val="Ссылка указателя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lang w:val="zxx" w:eastAsia="zxx" w:bidi="zxx"/>
    </w:rPr>
  </w:style>
  <w:style w:type="paragraph" w:styleId="Style15">
    <w:name w:val="Index Heading"/>
    <w:basedOn w:val="Style10"/>
    <w:pPr>
      <w:suppressLineNumbers/>
      <w:ind w:left="0" w:right="0" w:hanging="0"/>
    </w:pPr>
    <w:rPr>
      <w:b/>
      <w:bCs/>
      <w:sz w:val="32"/>
      <w:szCs w:val="32"/>
    </w:rPr>
  </w:style>
  <w:style w:type="paragraph" w:styleId="Style16">
    <w:name w:val="TOC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4"/>
    <w:pPr>
      <w:tabs>
        <w:tab w:val="clear" w:pos="1134"/>
        <w:tab w:val="right" w:pos="9638" w:leader="dot"/>
      </w:tabs>
      <w:ind w:left="0" w:right="0" w:hanging="0"/>
    </w:pPr>
    <w:rPr/>
  </w:style>
  <w:style w:type="paragraph" w:styleId="21">
    <w:name w:val="TOC 2"/>
    <w:basedOn w:val="Style14"/>
    <w:pPr>
      <w:tabs>
        <w:tab w:val="clear" w:pos="1134"/>
        <w:tab w:val="right" w:pos="9638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1123</TotalTime>
  <Application>LibreOffice/7.5.0.3$Windows_X86_64 LibreOffice_project/c21113d003cd3efa8c53188764377a8272d9d6de</Application>
  <AppVersion>15.0000</AppVersion>
  <Pages>10</Pages>
  <Words>981</Words>
  <Characters>6201</Characters>
  <CharactersWithSpaces>7129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2023-05-23T20:16:42Z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