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928"/>
        </w:trPr>
        <w:tc>
          <w:tcPr>
            <w:tcW w:type="dxa" w:w="12240"/>
            <w:tcBorders/>
            <w:shd w:fill="266b5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6" w:lineRule="exact" w:before="414" w:after="0"/>
              <w:ind w:left="96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FFFFFF"/>
                <w:sz w:val="36"/>
              </w:rPr>
              <w:t>Summit Systems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1155700</wp:posOffset>
            </wp:positionV>
            <wp:extent cx="6578600" cy="1930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1930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360"/>
      </w:tblGrid>
      <w:tr>
        <w:trPr>
          <w:trHeight w:hRule="exact" w:val="348"/>
        </w:trPr>
        <w:tc>
          <w:tcPr>
            <w:tcW w:type="dxa" w:w="7700"/>
            <w:tcBorders/>
            <w:shd w:fill="266b5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8" w:after="0"/>
              <w:ind w:left="480" w:right="0" w:firstLine="0"/>
              <w:jc w:val="left"/>
            </w:pPr>
            <w:r>
              <w:rPr>
                <w:rFonts w:ascii="Arial" w:hAnsi="Arial" w:eastAsia="Helvetica"/>
                <w:b w:val="0"/>
                <w:i/>
                <w:color w:val="D8EDE5"/>
                <w:sz w:val="20"/>
              </w:rPr>
              <w:t>Building Better Operations Together</w:t>
            </w:r>
          </w:p>
        </w:tc>
      </w:tr>
    </w:tbl>
    <w:p>
      <w:pPr>
        <w:autoSpaceDN w:val="0"/>
        <w:autoSpaceDE w:val="0"/>
        <w:widowControl/>
        <w:spacing w:line="260" w:lineRule="exact" w:before="1066" w:after="0"/>
        <w:ind w:firstLine="0"/>
        <w:jc w:val="center"/>
      </w:pPr>
      <w:r>
        <w:rPr>
          <w:rFonts w:ascii="Arial" w:hAnsi="Arial" w:eastAsia="Helvetica"/>
          <w:b w:val="0"/>
          <w:i w:val="0"/>
          <w:color w:val="66666B"/>
          <w:sz w:val="14"/>
        </w:rPr>
        <w:t xml:space="preserve">North (54) </w:t>
      </w:r>
      <w:r>
        <w:br/>
      </w:r>
      <w:r>
        <w:rPr>
          <w:rFonts w:ascii="Arial" w:hAnsi="Arial" w:eastAsia="Helvetica"/>
          <w:b w:val="0"/>
          <w:i w:val="0"/>
          <w:color w:val="66666B"/>
          <w:sz w:val="14"/>
        </w:rPr>
        <w:t xml:space="preserve">South (28) </w:t>
      </w:r>
      <w:r>
        <w:br/>
      </w:r>
      <w:r>
        <w:rPr>
          <w:rFonts w:ascii="Arial" w:hAnsi="Arial" w:eastAsia="Helvetica"/>
          <w:b w:val="0"/>
          <w:i w:val="0"/>
          <w:color w:val="66666B"/>
          <w:sz w:val="14"/>
        </w:rPr>
        <w:t>West (29)</w:t>
      </w:r>
    </w:p>
    <w:p>
      <w:pPr>
        <w:autoSpaceDN w:val="0"/>
        <w:autoSpaceDE w:val="0"/>
        <w:widowControl/>
        <w:spacing w:line="270" w:lineRule="exact" w:before="2102" w:after="0"/>
        <w:ind w:left="960" w:right="864" w:firstLine="0"/>
        <w:jc w:val="left"/>
      </w:pPr>
      <w:r>
        <w:rPr>
          <w:rFonts w:ascii="Arial" w:hAnsi="Arial" w:eastAsia="Helvetica"/>
          <w:b/>
          <w:i w:val="0"/>
          <w:color w:val="266B5B"/>
          <w:sz w:val="24"/>
        </w:rPr>
        <w:t xml:space="preserve">Our Track Record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We maintain a 96% on-time completion rate across all active accounts. Flexible service plans let you scale support up or down as </w:t>
      </w:r>
      <w:r>
        <w:rPr>
          <w:rFonts w:ascii="Arial" w:hAnsi="Arial" w:eastAsia="Helvetica"/>
          <w:b w:val="0"/>
          <w:i w:val="0"/>
          <w:color w:val="1E1E23"/>
          <w:sz w:val="18"/>
        </w:rPr>
        <w:t>your needs change.</w:t>
      </w:r>
    </w:p>
    <w:p>
      <w:pPr>
        <w:autoSpaceDN w:val="0"/>
        <w:autoSpaceDE w:val="0"/>
        <w:widowControl/>
        <w:spacing w:line="260" w:lineRule="exact" w:before="280" w:after="0"/>
        <w:ind w:left="960" w:right="864" w:firstLine="0"/>
        <w:jc w:val="left"/>
      </w:pPr>
      <w:r>
        <w:rPr>
          <w:rFonts w:ascii="Arial" w:hAnsi="Arial" w:eastAsia="Helvetica"/>
          <w:b/>
          <w:i w:val="0"/>
          <w:color w:val="266B5B"/>
          <w:sz w:val="24"/>
        </w:rPr>
        <w:t xml:space="preserve">Our Approach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We combine practical experience with modern tooling to keep projects on time and on budget. Our team works with organizations </w:t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of every size to deliver measurable results on schedule. Quarterly reviews keep your goals front and center throughout the </w:t>
      </w:r>
      <w:r>
        <w:rPr>
          <w:rFonts w:ascii="Arial" w:hAnsi="Arial" w:eastAsia="Helvetica"/>
          <w:b w:val="0"/>
          <w:i w:val="0"/>
          <w:color w:val="1E1E23"/>
          <w:sz w:val="18"/>
        </w:rPr>
        <w:t>engagement.</w:t>
      </w:r>
    </w:p>
    <w:p>
      <w:pPr>
        <w:autoSpaceDN w:val="0"/>
        <w:autoSpaceDE w:val="0"/>
        <w:widowControl/>
        <w:spacing w:line="270" w:lineRule="exact" w:before="270" w:after="0"/>
        <w:ind w:left="960" w:right="864" w:firstLine="0"/>
        <w:jc w:val="left"/>
      </w:pPr>
      <w:r>
        <w:rPr>
          <w:rFonts w:ascii="Arial" w:hAnsi="Arial" w:eastAsia="Helvetica"/>
          <w:b/>
          <w:i w:val="0"/>
          <w:color w:val="266B5B"/>
          <w:sz w:val="24"/>
        </w:rPr>
        <w:t xml:space="preserve">Getting Started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Our team works with organizations of every size to deliver measurable results on schedule. Founded in 2018, we have grown into </w:t>
      </w:r>
      <w:r>
        <w:rPr>
          <w:rFonts w:ascii="Arial" w:hAnsi="Arial" w:eastAsia="Helvetica"/>
          <w:b w:val="0"/>
          <w:i w:val="0"/>
          <w:color w:val="1E1E23"/>
          <w:sz w:val="18"/>
        </w:rPr>
        <w:t>a trusted partner for clients across the region. Every engagement starts with a detailed assessment of your current operations.</w:t>
      </w:r>
    </w:p>
    <w:p>
      <w:pPr>
        <w:autoSpaceDN w:val="0"/>
        <w:autoSpaceDE w:val="0"/>
        <w:widowControl/>
        <w:spacing w:line="300" w:lineRule="exact" w:before="240" w:after="0"/>
        <w:ind w:left="960" w:right="4752" w:firstLine="0"/>
        <w:jc w:val="left"/>
      </w:pPr>
      <w:r>
        <w:rPr>
          <w:rFonts w:ascii="Arial" w:hAnsi="Arial" w:eastAsia="Helvetica"/>
          <w:b/>
          <w:i w:val="0"/>
          <w:color w:val="266B5B"/>
          <w:sz w:val="24"/>
        </w:rPr>
        <w:t>At a Glance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8"/>
        </w:rPr>
        <w:t>• Quarterly reviews keep your goals front and center throughout the engagement.</w:t>
      </w:r>
    </w:p>
    <w:p>
      <w:pPr>
        <w:autoSpaceDN w:val="0"/>
        <w:autoSpaceDE w:val="0"/>
        <w:widowControl/>
        <w:spacing w:line="280" w:lineRule="exact" w:before="40" w:after="0"/>
        <w:ind w:right="3888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Our team works with organizations of every size to deliver measurable results on schedule.</w:t>
      </w:r>
      <w:r>
        <w:rPr>
          <w:rFonts w:ascii="Arial" w:hAnsi="Arial" w:eastAsia="Helvetica"/>
          <w:b w:val="0"/>
          <w:i w:val="0"/>
          <w:color w:val="1E1E23"/>
          <w:sz w:val="18"/>
        </w:rPr>
        <w:t>• We maintain a 91% on-time completion rate across all active accounts.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We combine practical experience with modern tooling to keep projects on time and on budget.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442"/>
        </w:trPr>
        <w:tc>
          <w:tcPr>
            <w:tcW w:type="dxa" w:w="1224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68" w:after="0"/>
              <w:ind w:left="96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Contact us: (581) 881-5386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360"/>
      </w:tblGrid>
      <w:tr>
        <w:trPr>
          <w:trHeight w:hRule="exact" w:val="286"/>
        </w:trPr>
        <w:tc>
          <w:tcPr>
            <w:tcW w:type="dxa" w:w="734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48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72727A"/>
                <w:sz w:val="16"/>
              </w:rPr>
              <w:t>9895 Cedar Ln, Atlanta, GA 30301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