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Keystone Solutions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48"/>
        </w:trPr>
        <w:tc>
          <w:tcPr>
            <w:tcW w:type="dxa" w:w="768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Your Partner in Sustainable Growth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9360"/>
      </w:tblGrid>
      <w:tr>
        <w:trPr>
          <w:trHeight w:hRule="exact" w:val="3000"/>
        </w:trPr>
        <w:tc>
          <w:tcPr>
            <w:tcW w:type="dxa" w:w="10320"/>
            <w:tcBorders>
              <w:start w:sz="6.400000095367432" w:val="single" w:color="#B2B7BC"/>
              <w:top w:sz="6.400000095367432" w:val="single" w:color="#B2B7BC"/>
              <w:end w:sz="6.400000095367432" w:val="single" w:color="#B2B7BC"/>
              <w:bottom w:sz="6.400000095367432" w:val="single" w:color="#B2B7BC"/>
            </w:tcBorders>
            <w:shd w:fill="e5ea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" w:type="dxa"/>
            </w:tblPr>
            <w:tblGrid>
              <w:gridCol w:w="10320"/>
            </w:tblGrid>
            <w:tr>
              <w:trPr>
                <w:trHeight w:hRule="exact" w:val="2208"/>
              </w:trPr>
              <w:tc>
                <w:tcPr>
                  <w:tcW w:type="dxa" w:w="9608"/>
                  <w:tcBorders>
                    <w:start w:sz="6.400000095367432" w:val="single" w:color="#66666B"/>
                    <w:bottom w:sz="6.400000095367432" w:val="single" w:color="#66666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32.0" w:type="dxa"/>
            </w:tblPr>
            <w:tblGrid>
              <w:gridCol w:w="2580"/>
              <w:gridCol w:w="2580"/>
              <w:gridCol w:w="2580"/>
              <w:gridCol w:w="2580"/>
            </w:tblGrid>
            <w:tr>
              <w:trPr>
                <w:trHeight w:hRule="exact" w:val="230"/>
              </w:trPr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112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Q1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Q2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Q3</w:t>
                  </w:r>
                </w:p>
              </w:tc>
              <w:tc>
                <w:tcPr>
                  <w:tcW w:type="dxa" w:w="2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74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6320" w:val="left"/>
        </w:tabs>
        <w:autoSpaceDE w:val="0"/>
        <w:pStyle w:val="Heading1"/>
        <w:widowControl/>
        <w:spacing w:line="304" w:lineRule="exact" w:before="336" w:after="4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2"/>
        </w:rPr>
        <w:t xml:space="preserve">Who We Serve </w:t>
      </w:r>
      <w:r>
        <w:tab/>
      </w:r>
      <w:r>
        <w:rPr>
          <w:rFonts w:ascii="Arial" w:hAnsi="Arial" w:eastAsia="Helvetica"/>
          <w:b/>
          <w:i w:val="0"/>
          <w:color w:val="266B5B"/>
          <w:sz w:val="22"/>
        </w:rPr>
        <w:t>Our Track Record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2" w:after="0"/>
        <w:ind w:left="960" w:right="576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Every engagement starts with a detailed assessment of your </w:t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current operations. Founded in 2001, we have grown into a </w:t>
      </w:r>
      <w:r>
        <w:rPr>
          <w:rFonts w:ascii="Arial" w:hAnsi="Arial" w:eastAsia="Helvetica"/>
          <w:b w:val="0"/>
          <w:i w:val="0"/>
          <w:color w:val="1E1E23"/>
          <w:sz w:val="17"/>
        </w:rPr>
        <w:t>trusted partner for clients across the region.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2"/>
        </w:rPr>
        <w:t>Getting Started</w:t>
      </w:r>
    </w:p>
    <w:p>
      <w:pPr>
        <w:autoSpaceDN w:val="0"/>
        <w:autoSpaceDE w:val="0"/>
        <w:widowControl/>
        <w:spacing w:line="220" w:lineRule="exact" w:before="52" w:after="0"/>
        <w:ind w:left="96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Quarterly reviews keep your goals front and center throughout the </w:t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engagement. Every engagement starts with a detailed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7"/>
        </w:rPr>
        <w:t>assessment of your current operations.</w:t>
      </w:r>
    </w:p>
    <w:p>
      <w:pPr>
        <w:sectPr>
          <w:type w:val="continuous"/>
          <w:pgSz w:w="12240" w:h="15840"/>
          <w:pgMar w:top="0" w:right="0" w:bottom="0" w:left="0" w:header="720" w:footer="720" w:gutter="0"/>
          <w:cols w:num="2" w:equalWidth="0">
            <w:col w:w="6116" w:space="0"/>
            <w:col w:w="612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12" w:after="0"/>
        <w:ind w:left="204" w:right="100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Every engagement starts with a detailed assessment of your </w:t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current operations. Our certified staff bring an average of 7 years </w:t>
      </w:r>
      <w:r>
        <w:rPr>
          <w:rFonts w:ascii="Arial" w:hAnsi="Arial" w:eastAsia="Helvetica"/>
          <w:b w:val="0"/>
          <w:i w:val="0"/>
          <w:color w:val="1E1E23"/>
          <w:sz w:val="17"/>
        </w:rPr>
        <w:t xml:space="preserve">of hands-on industry experience. We maintain a 96% on-time </w:t>
      </w:r>
      <w:r>
        <w:rPr>
          <w:rFonts w:ascii="Arial" w:hAnsi="Arial" w:eastAsia="Helvetica"/>
          <w:b w:val="0"/>
          <w:i w:val="0"/>
          <w:color w:val="1E1E23"/>
          <w:sz w:val="17"/>
        </w:rPr>
        <w:t>completion rate across all active accounts.</w:t>
      </w:r>
    </w:p>
    <w:p>
      <w:pPr>
        <w:autoSpaceDN w:val="0"/>
        <w:autoSpaceDE w:val="0"/>
        <w:pStyle w:val="Heading1"/>
        <w:widowControl/>
        <w:spacing w:line="304" w:lineRule="exact" w:before="240" w:after="80"/>
        <w:ind w:left="204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2"/>
        </w:rPr>
        <w:t>At a Glance</w:t>
      </w:r>
    </w:p>
    <w:p>
      <w:pPr>
        <w:autoSpaceDN w:val="0"/>
        <w:autoSpaceDE w:val="0"/>
        <w:widowControl/>
        <w:spacing w:line="220" w:lineRule="exact" w:before="40" w:after="0"/>
        <w:ind w:right="144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Our team works with organizations of every size to deliver </w:t>
      </w:r>
      <w:r>
        <w:rPr>
          <w:rFonts w:ascii="Arial" w:hAnsi="Arial" w:eastAsia="Helvetica"/>
          <w:b w:val="0"/>
          <w:i w:val="0"/>
          <w:color w:val="1E1E23"/>
          <w:sz w:val="17"/>
        </w:rPr>
        <w:t>measurable results on schedule.</w:t>
      </w:r>
    </w:p>
    <w:p>
      <w:pPr>
        <w:autoSpaceDN w:val="0"/>
        <w:autoSpaceDE w:val="0"/>
        <w:widowControl/>
        <w:spacing w:line="220" w:lineRule="exact" w:before="40" w:after="0"/>
        <w:ind w:right="1584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From initial planning through final handoff, a dedicated </w:t>
      </w:r>
      <w:r>
        <w:rPr>
          <w:rFonts w:ascii="Arial" w:hAnsi="Arial" w:eastAsia="Helvetica"/>
          <w:b w:val="0"/>
          <w:i w:val="0"/>
          <w:color w:val="1E1E23"/>
          <w:sz w:val="17"/>
        </w:rPr>
        <w:t>coordinator manages every detail.</w:t>
      </w:r>
    </w:p>
    <w:p>
      <w:pPr>
        <w:autoSpaceDN w:val="0"/>
        <w:autoSpaceDE w:val="0"/>
        <w:widowControl/>
        <w:spacing w:line="220" w:lineRule="exact" w:before="40" w:after="0"/>
        <w:ind w:right="11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7"/>
        </w:rPr>
        <w:t xml:space="preserve">Every engagement starts with a detailed assessment of your </w:t>
      </w:r>
      <w:r>
        <w:rPr>
          <w:rFonts w:ascii="Arial" w:hAnsi="Arial" w:eastAsia="Helvetica"/>
          <w:b w:val="0"/>
          <w:i w:val="0"/>
          <w:color w:val="1E1E23"/>
          <w:sz w:val="17"/>
        </w:rPr>
        <w:t>current operations.</w:t>
      </w:r>
    </w:p>
    <w:p>
      <w:pPr>
        <w:sectPr>
          <w:type w:val="nextColumn"/>
          <w:pgSz w:w="12240" w:h="15840"/>
          <w:pgMar w:top="0" w:right="0" w:bottom="0" w:left="0" w:header="720" w:footer="720" w:gutter="0"/>
          <w:cols w:num="2" w:equalWidth="0">
            <w:col w:w="6116" w:space="0"/>
            <w:col w:w="612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(962) 568-6467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32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6730 Elm St, Nashville, TN 37201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