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928"/>
        </w:trPr>
        <w:tc>
          <w:tcPr>
            <w:tcW w:type="dxa" w:w="1224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6" w:lineRule="exact" w:before="414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36"/>
              </w:rPr>
              <w:t>Westgate Industries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328"/>
        </w:trPr>
        <w:tc>
          <w:tcPr>
            <w:tcW w:type="dxa" w:w="7460"/>
            <w:tcBorders/>
            <w:shd w:fill="266b5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0" w:lineRule="exact" w:before="18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/>
                <w:color w:val="D8EDE5"/>
                <w:sz w:val="20"/>
              </w:rPr>
              <w:t>Solutions That Scale With You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404"/>
        <w:ind w:left="0" w:right="0"/>
      </w:pPr>
    </w:p>
    <w:p>
      <w:pPr>
        <w:sectPr>
          <w:pgSz w:w="12240" w:h="15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pStyle w:val="Heading1"/>
        <w:widowControl/>
        <w:spacing w:line="330" w:lineRule="exact" w:before="0" w:after="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Why Choose Us</w:t>
      </w:r>
    </w:p>
    <w:p>
      <w:pPr>
        <w:autoSpaceDN w:val="0"/>
        <w:autoSpaceDE w:val="0"/>
        <w:widowControl/>
        <w:spacing w:line="240" w:lineRule="exact" w:before="60" w:after="0"/>
        <w:ind w:left="96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Quarterly reviews keep your goals front and center throughout the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engagement. From initial planning through final handoff, a dedicated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coordinator manages every detail. Founded in 1986, we have grown </w:t>
      </w:r>
      <w:r>
        <w:rPr>
          <w:rFonts w:ascii="Arial" w:hAnsi="Arial" w:eastAsia="Helvetica"/>
          <w:b w:val="0"/>
          <w:i w:val="0"/>
          <w:color w:val="1E1E23"/>
          <w:sz w:val="18"/>
        </w:rPr>
        <w:t>into a trusted partner for clients across the region.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Getting Started</w:t>
      </w:r>
    </w:p>
    <w:p>
      <w:pPr>
        <w:autoSpaceDN w:val="0"/>
        <w:autoSpaceDE w:val="0"/>
        <w:widowControl/>
        <w:spacing w:line="240" w:lineRule="exact" w:before="60" w:after="0"/>
        <w:ind w:left="960" w:right="144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We combine practical experience with modern tooling to keep projects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on time and on budget. Quarterly reviews keep your goals front and </w:t>
      </w:r>
      <w:r>
        <w:rPr>
          <w:rFonts w:ascii="Arial" w:hAnsi="Arial" w:eastAsia="Helvetica"/>
          <w:b w:val="0"/>
          <w:i w:val="0"/>
          <w:color w:val="1E1E23"/>
          <w:sz w:val="18"/>
        </w:rPr>
        <w:t>center throughout the engagement.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Our Track Record</w:t>
      </w:r>
    </w:p>
    <w:p>
      <w:pPr>
        <w:autoSpaceDN w:val="0"/>
        <w:autoSpaceDE w:val="0"/>
        <w:widowControl/>
        <w:spacing w:line="240" w:lineRule="exact" w:before="60" w:after="0"/>
        <w:ind w:left="960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8"/>
        </w:rPr>
        <w:t xml:space="preserve">Every engagement starts with a detailed assessment of your current </w:t>
      </w:r>
      <w:r>
        <w:rPr>
          <w:rFonts w:ascii="Arial" w:hAnsi="Arial" w:eastAsia="Helvetica"/>
          <w:b w:val="0"/>
          <w:i w:val="0"/>
          <w:color w:val="1E1E23"/>
          <w:sz w:val="18"/>
        </w:rPr>
        <w:t xml:space="preserve">operations. Quarterly reviews keep your goals front and center </w:t>
      </w:r>
      <w:r>
        <w:rPr>
          <w:rFonts w:ascii="Arial" w:hAnsi="Arial" w:eastAsia="Helvetica"/>
          <w:b w:val="0"/>
          <w:i w:val="0"/>
          <w:color w:val="1E1E23"/>
          <w:sz w:val="18"/>
        </w:rPr>
        <w:t>throughout the engagement.</w:t>
      </w:r>
    </w:p>
    <w:p>
      <w:pPr>
        <w:autoSpaceDN w:val="0"/>
        <w:autoSpaceDE w:val="0"/>
        <w:pStyle w:val="Heading1"/>
        <w:widowControl/>
        <w:spacing w:line="330" w:lineRule="exact" w:before="240" w:after="80"/>
        <w:ind w:left="960" w:right="0" w:firstLine="0"/>
        <w:jc w:val="left"/>
      </w:pPr>
      <w:r>
        <w:rPr>
          <w:rFonts w:ascii="Arial" w:hAnsi="Arial" w:eastAsia="Helvetica"/>
          <w:b/>
          <w:i w:val="0"/>
          <w:color w:val="266B5B"/>
          <w:sz w:val="24"/>
        </w:rPr>
        <w:t>At a Glance</w:t>
      </w:r>
    </w:p>
    <w:p>
      <w:pPr>
        <w:sectPr>
          <w:type w:val="continuous"/>
          <w:pgSz w:w="12240" w:h="15840"/>
          <w:pgMar w:top="0" w:right="0" w:bottom="0" w:left="0" w:header="720" w:footer="720" w:gutter="0"/>
          <w:cols w:num="2" w:equalWidth="0">
            <w:col w:w="6808" w:space="0"/>
            <w:col w:w="543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72.00000000000045" w:type="dxa"/>
      </w:tblPr>
      <w:tblGrid>
        <w:gridCol w:w="9360"/>
      </w:tblGrid>
      <w:tr>
        <w:trPr>
          <w:trHeight w:hRule="exact" w:val="3780"/>
        </w:trPr>
        <w:tc>
          <w:tcPr>
            <w:tcW w:type="dxa" w:w="4200"/>
            <w:tcBorders>
              <w:start w:sz="6.400000095367432" w:val="single" w:color="#B2B7BC"/>
              <w:top w:sz="6.400000095367432" w:val="single" w:color="#B2B7BC"/>
              <w:end w:sz="6.400000095367432" w:val="single" w:color="#B2B7BC"/>
              <w:bottom w:sz="6.400000095367432" w:val="single" w:color="#B2B7BC"/>
            </w:tcBorders>
            <w:shd w:fill="e5eae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52.00000000000045" w:type="dxa"/>
            </w:tblPr>
            <w:tblGrid>
              <w:gridCol w:w="4200"/>
            </w:tblGrid>
            <w:tr>
              <w:trPr>
                <w:trHeight w:hRule="exact" w:val="3008"/>
              </w:trPr>
              <w:tc>
                <w:tcPr>
                  <w:tcW w:type="dxa" w:w="3488"/>
                  <w:tcBorders>
                    <w:start w:sz="6.400000095367432" w:val="single" w:color="#66666B"/>
                    <w:bottom w:sz="6.400000095367432" w:val="single" w:color="#66666B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2.00000000000045" w:type="dxa"/>
            </w:tblPr>
            <w:tblGrid>
              <w:gridCol w:w="1050"/>
              <w:gridCol w:w="1050"/>
              <w:gridCol w:w="1050"/>
              <w:gridCol w:w="1050"/>
            </w:tblGrid>
            <w:tr>
              <w:trPr>
                <w:trHeight w:hRule="exact" w:val="232"/>
              </w:trPr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Q1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Q2</w:t>
                  </w:r>
                </w:p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Q3</w:t>
                  </w:r>
                </w:p>
              </w:tc>
              <w:tc>
                <w:tcPr>
                  <w:tcW w:type="dxa" w:w="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6" w:lineRule="exact" w:before="26" w:after="0"/>
                    <w:ind w:left="0" w:right="0" w:firstLine="0"/>
                    <w:jc w:val="center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66666B"/>
                      <w:sz w:val="12"/>
                    </w:rPr>
                    <w:t>Q4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738"/>
        <w:ind w:left="0" w:right="0"/>
      </w:pPr>
    </w:p>
    <w:p>
      <w:pPr>
        <w:sectPr>
          <w:type w:val="nextColumn"/>
          <w:pgSz w:w="12240" w:h="15840"/>
          <w:pgMar w:top="0" w:right="0" w:bottom="0" w:left="0" w:header="720" w:footer="720" w:gutter="0"/>
          <w:cols w:num="2" w:equalWidth="0">
            <w:col w:w="6808" w:space="0"/>
            <w:col w:w="5432" w:space="0"/>
          </w:cols>
          <w:docGrid w:linePitch="360"/>
        </w:sectPr>
      </w:pP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Flexible service plans let you scale support up or down as your needs change.</w:t>
      </w:r>
    </w:p>
    <w:p>
      <w:pPr>
        <w:autoSpaceDN w:val="0"/>
        <w:autoSpaceDE w:val="0"/>
        <w:widowControl/>
        <w:spacing w:line="280" w:lineRule="exact" w:before="40" w:after="0"/>
        <w:ind w:right="403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Every engagement starts with a detailed assessment of your current operations.</w:t>
      </w:r>
      <w:r>
        <w:rPr>
          <w:rFonts w:ascii="Arial" w:hAnsi="Arial" w:eastAsia="Helvetica"/>
          <w:b w:val="0"/>
          <w:i w:val="0"/>
          <w:color w:val="1E1E23"/>
          <w:sz w:val="18"/>
        </w:rPr>
        <w:t>• Clients rely on us for clear communication, transparent pricing, and dependable delivery.</w:t>
      </w:r>
    </w:p>
    <w:p>
      <w:pPr>
        <w:autoSpaceDN w:val="0"/>
        <w:autoSpaceDE w:val="0"/>
        <w:widowControl/>
        <w:spacing w:line="280" w:lineRule="exact" w:before="40" w:after="0"/>
        <w:ind w:right="4752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Quarterly reviews keep your goals front and center throughout the engagement.</w:t>
      </w:r>
      <w:r>
        <w:rPr>
          <w:rFonts w:ascii="Arial" w:hAnsi="Arial" w:eastAsia="Helvetica"/>
          <w:b w:val="0"/>
          <w:i w:val="0"/>
          <w:color w:val="1E1E23"/>
          <w:sz w:val="18"/>
        </w:rPr>
        <w:t>• Flexible service plans let you scale support up or down as your needs change.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442"/>
        </w:trPr>
        <w:tc>
          <w:tcPr>
            <w:tcW w:type="dxa" w:w="1224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168" w:after="0"/>
              <w:ind w:left="96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18"/>
              </w:rPr>
              <w:t>Contact us: (879) 223-0745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80.0" w:type="dxa"/>
      </w:tblPr>
      <w:tblGrid>
        <w:gridCol w:w="9360"/>
      </w:tblGrid>
      <w:tr>
        <w:trPr>
          <w:trHeight w:hRule="exact" w:val="286"/>
        </w:trPr>
        <w:tc>
          <w:tcPr>
            <w:tcW w:type="dxa" w:w="7220"/>
            <w:tcBorders/>
            <w:shd w:fill="edeff2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6" w:after="0"/>
              <w:ind w:left="48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72727A"/>
                <w:sz w:val="16"/>
              </w:rPr>
              <w:t>5183 Park Pl, Austin, TX 73301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2240" w:h="15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