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602" w:lineRule="exact" w:before="0" w:after="1680"/>
        <w:ind w:left="0" w:right="6336" w:firstLine="0"/>
        <w:jc w:val="left"/>
      </w:pPr>
      <w:r>
        <w:rPr>
          <w:rFonts w:ascii="Arial" w:hAnsi="Arial" w:eastAsia="Helvetica"/>
          <w:b w:val="0"/>
          <w:i w:val="0"/>
          <w:color w:val="000000"/>
          <w:sz w:val="32"/>
        </w:rPr>
        <w:t xml:space="preserve">Market Share Overview </w:t>
      </w:r>
      <w:r>
        <w:br/>
      </w:r>
    </w:p>
    <w:p>
      <w:pPr>
        <w:autoSpaceDN w:val="0"/>
        <w:autoSpaceDE w:val="0"/>
        <w:widowControl/>
        <w:spacing w:line="602" w:lineRule="exact" w:before="0" w:after="1680"/>
        <w:ind w:left="0" w:right="6336" w:firstLine="0"/>
        <w:jc w:val="left"/>
      </w:pPr>
      <w:r>
        <w:rPr>
          <w:rFonts w:ascii="Arial" w:hAnsi="Arial" w:eastAsia="Helvetica"/>
          <w:b w:val="0"/>
          <w:i w:val="0"/>
          <w:color w:val="000000"/>
          <w:sz w:val="20"/>
        </w:rPr>
        <w:t>Fig 1. Market share percent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4860"/>
        <w:gridCol w:w="4860"/>
      </w:tblGrid>
      <w:tr>
        <w:trPr>
          <w:trHeight w:hRule="exact" w:val="4520"/>
        </w:trPr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06700" cy="279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6700" cy="279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680" w:after="0"/>
              <w:ind w:left="600" w:right="576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000000"/>
                <w:sz w:val="20"/>
              </w:rPr>
              <w:t xml:space="preserve">North 40% </w:t>
            </w:r>
            <w:r>
              <w:br/>
            </w:r>
            <w:r>
              <w:rPr>
                <w:rFonts w:ascii="Arial" w:hAnsi="Arial" w:eastAsia="Helvetica"/>
                <w:b w:val="0"/>
                <w:i w:val="0"/>
                <w:color w:val="000000"/>
                <w:sz w:val="20"/>
              </w:rPr>
              <w:t xml:space="preserve">South 25% </w:t>
            </w:r>
            <w:r>
              <w:br/>
            </w:r>
            <w:r>
              <w:rPr>
                <w:rFonts w:ascii="Arial" w:hAnsi="Arial" w:eastAsia="Helvetica"/>
                <w:b w:val="0"/>
                <w:i w:val="0"/>
                <w:color w:val="000000"/>
                <w:sz w:val="20"/>
              </w:rPr>
              <w:t xml:space="preserve">East 20% </w:t>
            </w:r>
            <w:r>
              <w:br/>
            </w:r>
            <w:r>
              <w:rPr>
                <w:rFonts w:ascii="Arial" w:hAnsi="Arial" w:eastAsia="Helvetica"/>
                <w:b w:val="0"/>
                <w:i w:val="0"/>
                <w:color w:val="000000"/>
                <w:sz w:val="20"/>
              </w:rPr>
              <w:t>West 15%</w:t>
            </w:r>
          </w:p>
        </w:tc>
      </w:tr>
    </w:tbl>
    <w:p>
      <w:pPr>
        <w:autoSpaceDN w:val="0"/>
        <w:autoSpaceDE w:val="0"/>
        <w:widowControl/>
        <w:spacing w:line="248" w:lineRule="exact" w:before="746" w:after="0"/>
        <w:ind w:left="0" w:right="0" w:firstLine="0"/>
        <w:jc w:val="left"/>
      </w:pPr>
      <w:r>
        <w:rPr>
          <w:rFonts w:ascii="Arial" w:hAnsi="Arial" w:eastAsia="Helvetica"/>
          <w:b w:val="0"/>
          <w:i w:val="0"/>
          <w:color w:val="000000"/>
          <w:sz w:val="18"/>
        </w:rPr>
        <w:t>Share of installed base at fiscal year end.</w:t>
      </w:r>
    </w:p>
    <w:sectPr w:rsidR="00FC693F" w:rsidRPr="0006063C" w:rsidSect="00034616">
      <w:pgSz w:w="12240" w:h="15840"/>
      <w:pgMar w:top="428" w:right="1440" w:bottom="1440" w:left="10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