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000000"/>
          <w:sz w:val="28"/>
        </w:rPr>
        <w:t>MASTER SERVICES AGREEMENT</w:t>
      </w:r>
    </w:p>
    <w:p>
      <w:pPr>
        <w:autoSpaceDN w:val="0"/>
        <w:autoSpaceDE w:val="0"/>
        <w:widowControl/>
        <w:spacing w:line="280" w:lineRule="exact" w:before="25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20"/>
        </w:rPr>
        <w:t xml:space="preserve">This Agreement is entered into as of Apr 4, 2026 (the "Effective Date") by and between Evergreen Ventures, </w:t>
      </w:r>
      <w:r>
        <w:rPr>
          <w:rFonts w:ascii="Arial" w:hAnsi="Arial" w:eastAsia="Helvetica"/>
          <w:b w:val="0"/>
          <w:i w:val="0"/>
          <w:color w:val="1E1E23"/>
          <w:sz w:val="20"/>
        </w:rPr>
        <w:t xml:space="preserve">with its principal place of business in Chicago, IL ("Client"), and Quartz Systems, with its principal place of </w:t>
      </w:r>
      <w:r>
        <w:rPr>
          <w:rFonts w:ascii="Arial" w:hAnsi="Arial" w:eastAsia="Helvetica"/>
          <w:b w:val="0"/>
          <w:i w:val="0"/>
          <w:color w:val="1E1E23"/>
          <w:sz w:val="20"/>
        </w:rPr>
        <w:t>business in Phoenix, AZ ("Provider"). The parties agree as follows: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A. CONFIDENTIALITY</w:t>
      </w:r>
    </w:p>
    <w:p>
      <w:pPr>
        <w:autoSpaceDN w:val="0"/>
        <w:autoSpaceDE w:val="0"/>
        <w:widowControl/>
        <w:spacing w:line="260" w:lineRule="exact" w:before="24" w:after="0"/>
        <w:ind w:left="6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Each party agrees to hold in strict confidence all non-public information disclosed by the other party in connection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with this Agreement, and to use such information solely to perform its obligations hereunder. This obligation </w:t>
      </w:r>
      <w:r>
        <w:rPr>
          <w:rFonts w:ascii="Arial" w:hAnsi="Arial" w:eastAsia="Helvetica"/>
          <w:b w:val="0"/>
          <w:i w:val="0"/>
          <w:color w:val="1E1E23"/>
          <w:sz w:val="19"/>
        </w:rPr>
        <w:t>survives termination of this Agreement for a period of 24 months.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B. INDEPENDENT CONTRACTOR</w:t>
      </w:r>
    </w:p>
    <w:p>
      <w:pPr>
        <w:autoSpaceDN w:val="0"/>
        <w:autoSpaceDE w:val="0"/>
        <w:widowControl/>
        <w:spacing w:line="260" w:lineRule="exact" w:before="24" w:after="0"/>
        <w:ind w:left="6" w:right="296" w:firstLine="0"/>
        <w:jc w:val="both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Quartz Systems is an independent contractor and nothing in this Agreement creates a partnership, joint venture,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agency, or employment relationship between the parties. Quartz Systems is solely responsible for its own taxes, </w:t>
      </w:r>
      <w:r>
        <w:rPr>
          <w:rFonts w:ascii="Arial" w:hAnsi="Arial" w:eastAsia="Helvetica"/>
          <w:b w:val="0"/>
          <w:i w:val="0"/>
          <w:color w:val="1E1E23"/>
          <w:sz w:val="19"/>
        </w:rPr>
        <w:t>insurance, and employee obligations.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C. INTELLECTUAL PROPERTY</w:t>
      </w:r>
    </w:p>
    <w:p>
      <w:pPr>
        <w:autoSpaceDN w:val="0"/>
        <w:autoSpaceDE w:val="0"/>
        <w:widowControl/>
        <w:spacing w:line="260" w:lineRule="exact" w:before="2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All work product created by Quartz Systems specifically for Evergreen Ventures under this Agreement shall be the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sole property of Evergreen Ventures upon full payment of the applicable fees. Quartz Systems retains ownership of </w:t>
      </w:r>
      <w:r>
        <w:rPr>
          <w:rFonts w:ascii="Arial" w:hAnsi="Arial" w:eastAsia="Helvetica"/>
          <w:b w:val="0"/>
          <w:i w:val="0"/>
          <w:color w:val="1E1E23"/>
          <w:sz w:val="19"/>
        </w:rPr>
        <w:t>its pre-existing materials, tools, and methodologies.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D. COMPENSATION</w:t>
      </w:r>
    </w:p>
    <w:p>
      <w:pPr>
        <w:autoSpaceDN w:val="0"/>
        <w:autoSpaceDE w:val="0"/>
        <w:widowControl/>
        <w:spacing w:line="260" w:lineRule="exact" w:before="2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In consideration of the Services, Evergreen Ventures shall pay Quartz Systems fees not to exceed $168,000 per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invoice period. All invoices are payable within 45 days of receipt. Amounts unpaid after the due date accrue interest </w:t>
      </w:r>
      <w:r>
        <w:rPr>
          <w:rFonts w:ascii="Arial" w:hAnsi="Arial" w:eastAsia="Helvetica"/>
          <w:b w:val="0"/>
          <w:i w:val="0"/>
          <w:color w:val="1E1E23"/>
          <w:sz w:val="19"/>
        </w:rPr>
        <w:t>at the lesser of 1.5% per month or the maximum rate permitted by law.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E. GOVERNING LAW</w:t>
      </w:r>
    </w:p>
    <w:p>
      <w:pPr>
        <w:autoSpaceDN w:val="0"/>
        <w:autoSpaceDE w:val="0"/>
        <w:widowControl/>
        <w:spacing w:line="260" w:lineRule="exact" w:before="24" w:after="0"/>
        <w:ind w:left="6" w:right="432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 shall be governed by and construed in accordance with the laws of the State of Washington,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without regard to its conflict of laws principles. The parties consent to the exclusive jurisdiction of the state and </w:t>
      </w:r>
      <w:r>
        <w:rPr>
          <w:rFonts w:ascii="Arial" w:hAnsi="Arial" w:eastAsia="Helvetica"/>
          <w:b w:val="0"/>
          <w:i w:val="0"/>
          <w:color w:val="1E1E23"/>
          <w:sz w:val="19"/>
        </w:rPr>
        <w:t>federal courts located in Washington.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F. ENTIRE AGREEMENT</w:t>
      </w:r>
    </w:p>
    <w:p>
      <w:pPr>
        <w:autoSpaceDN w:val="0"/>
        <w:autoSpaceDE w:val="0"/>
        <w:widowControl/>
        <w:spacing w:line="260" w:lineRule="exact" w:before="24" w:after="0"/>
        <w:ind w:left="6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Agreement, together with its exhibits, constitutes the entire agreement between Evergreen Ventures and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Quartz Systems with respect to its subject matter and supersedes all prior or contemporaneous understandings. </w:t>
      </w:r>
      <w:r>
        <w:rPr>
          <w:rFonts w:ascii="Arial" w:hAnsi="Arial" w:eastAsia="Helvetica"/>
          <w:b w:val="0"/>
          <w:i w:val="0"/>
          <w:color w:val="1E1E23"/>
          <w:sz w:val="19"/>
        </w:rPr>
        <w:t>Any amendment must be in writing and signed by both parties.</w:t>
      </w:r>
    </w:p>
    <w:p>
      <w:pPr>
        <w:autoSpaceDN w:val="0"/>
        <w:autoSpaceDE w:val="0"/>
        <w:widowControl/>
        <w:spacing w:line="258" w:lineRule="exact" w:before="520" w:after="560"/>
        <w:ind w:left="6" w:right="0" w:firstLine="0"/>
        <w:jc w:val="left"/>
      </w:pPr>
      <w:r>
        <w:rPr>
          <w:rFonts w:ascii="Arial" w:hAnsi="Arial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610" w:right="1254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Felix Brown, Evergreen Ventures</w:t>
      </w:r>
    </w:p>
    <w:p>
      <w:pPr>
        <w:sectPr>
          <w:type w:val="continuous"/>
          <w:pgSz w:w="12240" w:h="15840"/>
          <w:pgMar w:top="610" w:right="1254" w:bottom="1440" w:left="1274" w:header="720" w:footer="720" w:gutter="0"/>
          <w:cols w:num="2" w:equalWidth="0">
            <w:col w:w="4846" w:space="0"/>
            <w:col w:w="486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Ingrid Lee, Quartz Systems</w:t>
      </w:r>
    </w:p>
    <w:sectPr w:rsidR="00FC693F" w:rsidRPr="0006063C" w:rsidSect="00034616">
      <w:type w:val="nextColumn"/>
      <w:pgSz w:w="12240" w:h="15840"/>
      <w:pgMar w:top="610" w:right="1254" w:bottom="1440" w:left="1274" w:header="720" w:footer="720" w:gutter="0"/>
      <w:cols w:num="2" w:equalWidth="0">
        <w:col w:w="4846" w:space="0"/>
        <w:col w:w="486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