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CONSULTING AGREEMENT</w:t>
      </w:r>
    </w:p>
    <w:p>
      <w:pPr>
        <w:autoSpaceDN w:val="0"/>
        <w:autoSpaceDE w:val="0"/>
        <w:widowControl/>
        <w:spacing w:line="276" w:lineRule="exact" w:before="258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>This Agreement is entered into as of Jan 14, 2025 (the "Effective Date") by and between Keystone Ventures,</w:t>
      </w:r>
    </w:p>
    <w:p>
      <w:pPr>
        <w:autoSpaceDN w:val="0"/>
        <w:autoSpaceDE w:val="0"/>
        <w:widowControl/>
        <w:spacing w:line="276" w:lineRule="exact" w:before="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>with its principal place of business in Seattle, WA ("Client"), and Granite Holdings, with its principal place of</w:t>
      </w:r>
      <w:r>
        <w:t xml:space="preserve"> </w:t>
      </w:r>
      <w:r>
        <w:rPr>
          <w:rFonts w:ascii="Arial" w:hAnsi="Arial" w:eastAsia="Helvetica"/>
          <w:b w:val="0"/>
          <w:i w:val="0"/>
          <w:color w:val="1E1E23"/>
          <w:sz w:val="20"/>
        </w:rPr>
        <w:t>business in Denver, CO ("Provider"). The parties agree as follows:</w:t>
      </w:r>
    </w:p>
    <w:p>
      <w:pPr>
        <w:autoSpaceDN w:val="0"/>
        <w:autoSpaceDE w:val="0"/>
        <w:widowControl/>
        <w:spacing w:line="220" w:lineRule="exact" w:before="27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Termination. Either party may terminate this Agreement upon 30 days' written notice to the other party. Either party may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terminate immediately upon a material breach by the other party that remains uncured 30 days after written notice of the </w:t>
      </w:r>
      <w:r>
        <w:rPr>
          <w:rFonts w:ascii="Arial" w:hAnsi="Arial" w:eastAsia="Helvetica"/>
          <w:b w:val="0"/>
          <w:i w:val="0"/>
          <w:color w:val="1E1E23"/>
          <w:sz w:val="18"/>
        </w:rPr>
        <w:t>breach.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Independent Contractor. Granite Holdings is an independent contractor and nothing in this Agreement creates a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partnership, joint venture, agency, or employment relationship between the parties. Granite Holdings is solely responsible </w:t>
      </w:r>
      <w:r>
        <w:rPr>
          <w:rFonts w:ascii="Arial" w:hAnsi="Arial" w:eastAsia="Helvetica"/>
          <w:b w:val="0"/>
          <w:i w:val="0"/>
          <w:color w:val="1E1E23"/>
          <w:sz w:val="18"/>
        </w:rPr>
        <w:t>for its own taxes, insurance, and employee obligations.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Confidentiality. Each party agrees to hold in strict confidence all non-public information disclosed by the other party in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connection 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8"/>
        </w:rPr>
        <w:t>survives termination of this Agreement for a period of 12 months.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Limitation of Liability. Except for breaches of confidentiality, neither party shall be liable for any indirect, incidental, special,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or consequential damages arising out of this Agreement. Each party's aggregate liability shall not exceed the total fees </w:t>
      </w:r>
      <w:r>
        <w:rPr>
          <w:rFonts w:ascii="Arial" w:hAnsi="Arial" w:eastAsia="Helvetica"/>
          <w:b w:val="0"/>
          <w:i w:val="0"/>
          <w:color w:val="1E1E23"/>
          <w:sz w:val="18"/>
        </w:rPr>
        <w:t>paid or payable by Keystone Ventures in the twelve months preceding the claim.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Term and Renewal. This Agreement shall commence on the Effective Date and continue for an initial term of 12 months,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unless earlier terminated as provided herein. The Agreement will renew automatically for successive terms of equal length </w:t>
      </w:r>
      <w:r>
        <w:rPr>
          <w:rFonts w:ascii="Arial" w:hAnsi="Arial" w:eastAsia="Helvetica"/>
          <w:b w:val="0"/>
          <w:i w:val="0"/>
          <w:color w:val="1E1E23"/>
          <w:sz w:val="18"/>
        </w:rPr>
        <w:t>unless either party gives written notice of non-renewal at least 30 days before the end of the then-current term.</w:t>
      </w:r>
    </w:p>
    <w:p>
      <w:pPr>
        <w:autoSpaceDN w:val="0"/>
        <w:autoSpaceDE w:val="0"/>
        <w:widowControl/>
        <w:spacing w:line="220" w:lineRule="exact" w:before="120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Governing Law. This Agreement shall be governed by and construed in accordance with the laws of the State of Illinois,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without regard to its conflict of laws principles. The parties consent to the exclusive jurisdiction of the state and federal </w:t>
      </w:r>
      <w:r>
        <w:rPr>
          <w:rFonts w:ascii="Arial" w:hAnsi="Arial" w:eastAsia="Helvetica"/>
          <w:b w:val="0"/>
          <w:i w:val="0"/>
          <w:color w:val="1E1E23"/>
          <w:sz w:val="18"/>
        </w:rPr>
        <w:t>courts located in Illinois.</w:t>
      </w:r>
    </w:p>
    <w:p>
      <w:pPr>
        <w:autoSpaceDN w:val="0"/>
        <w:autoSpaceDE w:val="0"/>
        <w:widowControl/>
        <w:spacing w:line="220" w:lineRule="exact" w:before="12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Scope of Services. Granite Holdings shall provide the services described in Exhibit A (the "Services") to Keystone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Ventures in a professional and workmanlike manner, consistent with industry standards. Any changes to the scope of the </w:t>
      </w:r>
      <w:r>
        <w:rPr>
          <w:rFonts w:ascii="Arial" w:hAnsi="Arial" w:eastAsia="Helvetica"/>
          <w:b w:val="0"/>
          <w:i w:val="0"/>
          <w:color w:val="1E1E23"/>
          <w:sz w:val="18"/>
        </w:rPr>
        <w:t>Services must be agreed in writing by both parties before work begins.</w:t>
      </w:r>
    </w:p>
    <w:p>
      <w:pPr>
        <w:autoSpaceDN w:val="0"/>
        <w:autoSpaceDE w:val="0"/>
        <w:widowControl/>
        <w:spacing w:line="258" w:lineRule="exact" w:before="372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36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Ingrid Yamamoto, Keystone Ventures</w:t>
      </w:r>
    </w:p>
    <w:p>
      <w:pPr>
        <w:sectPr>
          <w:type w:val="continuous"/>
          <w:pgSz w:w="12240" w:h="15840"/>
          <w:pgMar w:top="610" w:right="1236" w:bottom="1440" w:left="1274" w:header="720" w:footer="720" w:gutter="0"/>
          <w:cols w:num="2" w:equalWidth="0">
            <w:col w:w="4846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Priya Ivanov, Granite Holdings</w:t>
      </w:r>
    </w:p>
    <w:sectPr w:rsidR="00FC693F" w:rsidRPr="0006063C" w:rsidSect="00034616">
      <w:type w:val="nextColumn"/>
      <w:pgSz w:w="12240" w:h="15840"/>
      <w:pgMar w:top="610" w:right="1236" w:bottom="1440" w:left="1274" w:header="720" w:footer="720" w:gutter="0"/>
      <w:cols w:num="2" w:equalWidth="0">
        <w:col w:w="4846" w:space="0"/>
        <w:col w:w="48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