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90"/>
        <w:ind w:left="0" w:right="0"/>
      </w:pPr>
    </w:p>
    <w:p>
      <w:pPr>
        <w:autoSpaceDN w:val="0"/>
        <w:autoSpaceDE w:val="0"/>
        <w:pStyle w:val="Heading1"/>
        <w:widowControl/>
        <w:spacing w:line="386" w:lineRule="exact" w:before="0" w:after="0"/>
        <w:ind w:left="0" w:right="0" w:firstLine="0"/>
        <w:jc w:val="center"/>
      </w:pPr>
      <w:r>
        <w:rPr>
          <w:rFonts w:ascii="Arial" w:hAnsi="Arial" w:eastAsia="Helvetica"/>
          <w:b/>
          <w:i w:val="0"/>
          <w:color w:val="000000"/>
          <w:sz w:val="28"/>
        </w:rPr>
        <w:t>CONSULTING AGREEMENT</w:t>
      </w:r>
    </w:p>
    <w:p>
      <w:pPr>
        <w:autoSpaceDN w:val="0"/>
        <w:autoSpaceDE w:val="0"/>
        <w:widowControl/>
        <w:spacing w:line="276" w:lineRule="exact" w:before="258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20"/>
        </w:rPr>
        <w:t>This Agreement is entered into as of Sep 5, 2024 (the "Effective Date") by and between Keystone Dynamics,</w:t>
      </w:r>
    </w:p>
    <w:p>
      <w:pPr>
        <w:autoSpaceDN w:val="0"/>
        <w:autoSpaceDE w:val="0"/>
        <w:widowControl/>
        <w:spacing w:line="276" w:lineRule="exact" w:before="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20"/>
        </w:rPr>
        <w:t>with its principal place of business in Austin, TX ("Client"), and Redwood Group, with its principal place of</w:t>
      </w:r>
      <w:r>
        <w:t xml:space="preserve"> </w:t>
      </w:r>
      <w:r>
        <w:rPr>
          <w:rFonts w:ascii="Arial" w:hAnsi="Arial" w:eastAsia="Helvetica"/>
          <w:b w:val="0"/>
          <w:i w:val="0"/>
          <w:color w:val="1E1E23"/>
          <w:sz w:val="20"/>
        </w:rPr>
        <w:t>business in Minneapolis, MN ("Provider"). The parties agree as follows:</w:t>
      </w:r>
    </w:p>
    <w:p>
      <w:pPr>
        <w:autoSpaceDN w:val="0"/>
        <w:autoSpaceDE w:val="0"/>
        <w:widowControl/>
        <w:spacing w:line="220" w:lineRule="exact" w:before="274" w:after="0"/>
        <w:ind w:left="6" w:right="14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Compensation. In consideration of the Services, Keystone Dynamics shall pay Redwood Group fees not to exceed 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$84,000 per invoice period. All invoices are payable within 60 days of receipt. Amounts unpaid after the due date accrue </w:t>
      </w:r>
      <w:r>
        <w:rPr>
          <w:rFonts w:ascii="Arial" w:hAnsi="Arial" w:eastAsia="Helvetica"/>
          <w:b w:val="0"/>
          <w:i w:val="0"/>
          <w:color w:val="1E1E23"/>
          <w:sz w:val="18"/>
        </w:rPr>
        <w:t>interest at the lesser of 1.5% per month or the maximum rate permitted by law.</w:t>
      </w:r>
    </w:p>
    <w:p>
      <w:pPr>
        <w:autoSpaceDN w:val="0"/>
        <w:autoSpaceDE w:val="0"/>
        <w:widowControl/>
        <w:spacing w:line="220" w:lineRule="exact" w:before="120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Independent Contractor. Redwood Group is an independent contractor and nothing in this Agreement creates a 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partnership, joint venture, agency, or employment relationship between the parties. Redwood Group is solely responsible </w:t>
      </w:r>
      <w:r>
        <w:rPr>
          <w:rFonts w:ascii="Arial" w:hAnsi="Arial" w:eastAsia="Helvetica"/>
          <w:b w:val="0"/>
          <w:i w:val="0"/>
          <w:color w:val="1E1E23"/>
          <w:sz w:val="18"/>
        </w:rPr>
        <w:t>for its own taxes, insurance, and employee obligations.</w:t>
      </w:r>
    </w:p>
    <w:p>
      <w:pPr>
        <w:autoSpaceDN w:val="0"/>
        <w:autoSpaceDE w:val="0"/>
        <w:widowControl/>
        <w:spacing w:line="220" w:lineRule="exact" w:before="120" w:after="0"/>
        <w:ind w:left="6" w:right="14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Governing Law. This Agreement shall be governed by and construed in accordance with the laws of the State of Texas, 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without regard to its conflict of laws principles. The parties consent to the exclusive jurisdiction of the state and federal </w:t>
      </w:r>
      <w:r>
        <w:rPr>
          <w:rFonts w:ascii="Arial" w:hAnsi="Arial" w:eastAsia="Helvetica"/>
          <w:b w:val="0"/>
          <w:i w:val="0"/>
          <w:color w:val="1E1E23"/>
          <w:sz w:val="18"/>
        </w:rPr>
        <w:t>courts located in Texas.</w:t>
      </w:r>
    </w:p>
    <w:p>
      <w:pPr>
        <w:autoSpaceDN w:val="0"/>
        <w:autoSpaceDE w:val="0"/>
        <w:widowControl/>
        <w:spacing w:line="220" w:lineRule="exact" w:before="120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Limitation of Liability. Except for breaches of confidentiality, neither party shall be liable for any indirect, incidental, special, 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or consequential damages arising out of this Agreement. Each party's aggregate liability shall not exceed the total fees </w:t>
      </w:r>
      <w:r>
        <w:rPr>
          <w:rFonts w:ascii="Arial" w:hAnsi="Arial" w:eastAsia="Helvetica"/>
          <w:b w:val="0"/>
          <w:i w:val="0"/>
          <w:color w:val="1E1E23"/>
          <w:sz w:val="18"/>
        </w:rPr>
        <w:t>paid or payable by Keystone Dynamics in the twelve months preceding the claim.</w:t>
      </w:r>
    </w:p>
    <w:p>
      <w:pPr>
        <w:autoSpaceDN w:val="0"/>
        <w:autoSpaceDE w:val="0"/>
        <w:widowControl/>
        <w:spacing w:line="220" w:lineRule="exact" w:before="120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Scope of Services. Redwood Group shall provide the services described in Exhibit A (the "Services") to Keystone 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Dynamics in a professional and workmanlike manner, consistent with industry standards. Any changes to the scope of the </w:t>
      </w:r>
      <w:r>
        <w:rPr>
          <w:rFonts w:ascii="Arial" w:hAnsi="Arial" w:eastAsia="Helvetica"/>
          <w:b w:val="0"/>
          <w:i w:val="0"/>
          <w:color w:val="1E1E23"/>
          <w:sz w:val="18"/>
        </w:rPr>
        <w:t>Services must be agreed in writing by both parties before work begins.</w:t>
      </w:r>
    </w:p>
    <w:p>
      <w:pPr>
        <w:autoSpaceDN w:val="0"/>
        <w:autoSpaceDE w:val="0"/>
        <w:widowControl/>
        <w:spacing w:line="220" w:lineRule="exact" w:before="120" w:after="0"/>
        <w:ind w:left="6" w:right="288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Intellectual Property. All work product created by Redwood Group specifically for Keystone Dynamics under this 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Agreement shall be the sole property of Keystone Dynamics upon full payment of the applicable fees. Redwood Group </w:t>
      </w:r>
      <w:r>
        <w:rPr>
          <w:rFonts w:ascii="Arial" w:hAnsi="Arial" w:eastAsia="Helvetica"/>
          <w:b w:val="0"/>
          <w:i w:val="0"/>
          <w:color w:val="1E1E23"/>
          <w:sz w:val="18"/>
        </w:rPr>
        <w:t>retains ownership of its pre-existing materials, tools, and methodologies.</w:t>
      </w:r>
    </w:p>
    <w:p>
      <w:pPr>
        <w:autoSpaceDN w:val="0"/>
        <w:autoSpaceDE w:val="0"/>
        <w:widowControl/>
        <w:spacing w:line="258" w:lineRule="exact" w:before="372" w:after="560"/>
        <w:ind w:left="6" w:right="0" w:firstLine="0"/>
        <w:jc w:val="left"/>
      </w:pPr>
      <w:r>
        <w:rPr>
          <w:rFonts w:ascii="Arial" w:hAnsi="Arial" w:eastAsia="Helvetica"/>
          <w:b w:val="0"/>
          <w:i/>
          <w:color w:val="1E1E23"/>
          <w:sz w:val="19"/>
        </w:rPr>
        <w:t>IN WITNESS WHEREOF, the parties have executed this Agreement as of the Effective Date.</w:t>
      </w:r>
    </w:p>
    <w:p>
      <w:pPr>
        <w:sectPr>
          <w:pgSz w:w="12240" w:h="15840"/>
          <w:pgMar w:top="610" w:right="1236" w:bottom="1440" w:left="127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7"/>
        </w:rPr>
        <w:t>Grace Johnson, Keystone Dynamics</w:t>
      </w:r>
    </w:p>
    <w:p>
      <w:pPr>
        <w:sectPr>
          <w:type w:val="continuous"/>
          <w:pgSz w:w="12240" w:h="15840"/>
          <w:pgMar w:top="610" w:right="1236" w:bottom="1440" w:left="1274" w:header="720" w:footer="720" w:gutter="0"/>
          <w:cols w:num="2" w:equalWidth="0">
            <w:col w:w="4846" w:space="0"/>
            <w:col w:w="4884" w:space="0"/>
          </w:cols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400" w:right="0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7"/>
        </w:rPr>
        <w:t>Chloe Dubois, Redwood Group</w:t>
      </w:r>
    </w:p>
    <w:sectPr w:rsidR="00FC693F" w:rsidRPr="0006063C" w:rsidSect="00034616">
      <w:type w:val="nextColumn"/>
      <w:pgSz w:w="12240" w:h="15840"/>
      <w:pgMar w:top="610" w:right="1236" w:bottom="1440" w:left="1274" w:header="720" w:footer="720" w:gutter="0"/>
      <w:cols w:num="2" w:equalWidth="0">
        <w:col w:w="4846" w:space="0"/>
        <w:col w:w="4884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