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0"/>
        <w:ind w:left="0" w:right="0"/>
      </w:pPr>
    </w:p>
    <w:p>
      <w:pPr>
        <w:autoSpaceDN w:val="0"/>
        <w:autoSpaceDE w:val="0"/>
        <w:pStyle w:val="Heading1"/>
        <w:widowControl/>
        <w:spacing w:line="386" w:lineRule="exact" w:before="0" w:after="0"/>
        <w:ind w:left="0" w:right="0" w:firstLine="0"/>
        <w:jc w:val="center"/>
      </w:pPr>
      <w:r>
        <w:rPr>
          <w:rFonts w:ascii="Arial" w:hAnsi="Arial" w:eastAsia="Helvetica"/>
          <w:b/>
          <w:i w:val="0"/>
          <w:color w:val="000000"/>
          <w:sz w:val="28"/>
        </w:rPr>
        <w:t>MASTER SERVICES AGREEMENT</w:t>
      </w:r>
    </w:p>
    <w:p>
      <w:pPr>
        <w:autoSpaceDN w:val="0"/>
        <w:autoSpaceDE w:val="0"/>
        <w:widowControl/>
        <w:spacing w:line="276" w:lineRule="exact" w:before="258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20"/>
        </w:rPr>
        <w:t>This Agreement is entered into as of Oct 4, 2023 (the "Effective Date") by and between Keystone</w:t>
      </w:r>
    </w:p>
    <w:p>
      <w:pPr>
        <w:autoSpaceDN w:val="0"/>
        <w:autoSpaceDE w:val="0"/>
        <w:widowControl/>
        <w:spacing w:line="276" w:lineRule="exact" w:before="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20"/>
        </w:rPr>
        <w:t>Technologies, with its principal place of business in Minneapolis, MN ("Client"), and Ironwood Solutions, with</w:t>
      </w:r>
      <w:r>
        <w:t xml:space="preserve"> </w:t>
      </w:r>
      <w:r>
        <w:rPr>
          <w:rFonts w:ascii="Arial" w:hAnsi="Arial" w:eastAsia="Helvetica"/>
          <w:b w:val="0"/>
          <w:i w:val="0"/>
          <w:color w:val="1E1E23"/>
          <w:sz w:val="20"/>
        </w:rPr>
        <w:t>its principal place of business in Portland, OR ("Provider"). The parties agree as follows:</w:t>
      </w:r>
    </w:p>
    <w:p>
      <w:pPr>
        <w:autoSpaceDN w:val="0"/>
        <w:autoSpaceDE w:val="0"/>
        <w:widowControl/>
        <w:spacing w:line="220" w:lineRule="exact" w:before="27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Term and Renewal. This Agreement shall commence on the Effective Date and continue for an initial term of 12 months,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unless earlier terminated as provided herein. The Agreement will renew automatically for successive terms of equal length </w:t>
      </w:r>
      <w:r>
        <w:rPr>
          <w:rFonts w:ascii="Arial" w:hAnsi="Arial" w:eastAsia="Helvetica"/>
          <w:b w:val="0"/>
          <w:i w:val="0"/>
          <w:color w:val="1E1E23"/>
          <w:sz w:val="18"/>
        </w:rPr>
        <w:t>unless either party gives written notice of non-renewal at least 30 days before the end of the then-current term.</w:t>
      </w:r>
    </w:p>
    <w:p>
      <w:pPr>
        <w:autoSpaceDN w:val="0"/>
        <w:autoSpaceDE w:val="0"/>
        <w:widowControl/>
        <w:spacing w:line="220" w:lineRule="exact" w:before="120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Compensation. In consideration of the Services, Keystone Technologies shall pay Ironwood Solutions fees not to exceed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$5,000 per invoice period. All invoices are payable within 30 days of receipt. Amounts unpaid after the due date accrue </w:t>
      </w:r>
      <w:r>
        <w:rPr>
          <w:rFonts w:ascii="Arial" w:hAnsi="Arial" w:eastAsia="Helvetica"/>
          <w:b w:val="0"/>
          <w:i w:val="0"/>
          <w:color w:val="1E1E23"/>
          <w:sz w:val="18"/>
        </w:rPr>
        <w:t>interest at the lesser of 1.5% per month or the maximum rate permitted by law.</w:t>
      </w:r>
    </w:p>
    <w:p>
      <w:pPr>
        <w:autoSpaceDN w:val="0"/>
        <w:autoSpaceDE w:val="0"/>
        <w:widowControl/>
        <w:spacing w:line="220" w:lineRule="exact" w:before="120" w:after="0"/>
        <w:ind w:left="6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Termination. Either party may terminate this Agreement upon 30 days' written notice to the other party. Either party may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terminate immediately upon a material breach by the other party that remains uncured 30 days after written notice of the </w:t>
      </w:r>
      <w:r>
        <w:rPr>
          <w:rFonts w:ascii="Arial" w:hAnsi="Arial" w:eastAsia="Helvetica"/>
          <w:b w:val="0"/>
          <w:i w:val="0"/>
          <w:color w:val="1E1E23"/>
          <w:sz w:val="18"/>
        </w:rPr>
        <w:t>breach.</w:t>
      </w:r>
    </w:p>
    <w:p>
      <w:pPr>
        <w:autoSpaceDN w:val="0"/>
        <w:autoSpaceDE w:val="0"/>
        <w:widowControl/>
        <w:spacing w:line="220" w:lineRule="exact" w:before="120" w:after="0"/>
        <w:ind w:left="6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Confidentiality. Each party agrees to hold in strict confidence all non-public information disclosed by the other party in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connection with this Agreement, and to use such information solely to perform its obligations hereunder. This obligation </w:t>
      </w:r>
      <w:r>
        <w:rPr>
          <w:rFonts w:ascii="Arial" w:hAnsi="Arial" w:eastAsia="Helvetica"/>
          <w:b w:val="0"/>
          <w:i w:val="0"/>
          <w:color w:val="1E1E23"/>
          <w:sz w:val="18"/>
        </w:rPr>
        <w:t>survives termination of this Agreement for a period of 12 months.</w:t>
      </w:r>
    </w:p>
    <w:p>
      <w:pPr>
        <w:autoSpaceDN w:val="0"/>
        <w:autoSpaceDE w:val="0"/>
        <w:widowControl/>
        <w:spacing w:line="220" w:lineRule="exact" w:before="120" w:after="0"/>
        <w:ind w:left="6" w:right="576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Independent Contractor. Ironwood Solutions is an independent contractor and nothing in this Agreement creates a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partnership, joint venture, agency, or employment relationship between the parties. Ironwood Solutions is solely </w:t>
      </w:r>
      <w:r>
        <w:rPr>
          <w:rFonts w:ascii="Arial" w:hAnsi="Arial" w:eastAsia="Helvetica"/>
          <w:b w:val="0"/>
          <w:i w:val="0"/>
          <w:color w:val="1E1E23"/>
          <w:sz w:val="18"/>
        </w:rPr>
        <w:t>responsible for its own taxes, insurance, and employee obligations.</w:t>
      </w:r>
    </w:p>
    <w:p>
      <w:pPr>
        <w:autoSpaceDN w:val="0"/>
        <w:autoSpaceDE w:val="0"/>
        <w:widowControl/>
        <w:spacing w:line="220" w:lineRule="exact" w:before="120" w:after="0"/>
        <w:ind w:left="6" w:right="288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Intellectual Property. All work product created by Ironwood Solutions specifically for Keystone Technologies under this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Agreement shall be the sole property of Keystone Technologies upon full payment of the applicable fees. Ironwood </w:t>
      </w:r>
      <w:r>
        <w:rPr>
          <w:rFonts w:ascii="Arial" w:hAnsi="Arial" w:eastAsia="Helvetica"/>
          <w:b w:val="0"/>
          <w:i w:val="0"/>
          <w:color w:val="1E1E23"/>
          <w:sz w:val="18"/>
        </w:rPr>
        <w:t>Solutions retains ownership of its pre-existing materials, tools, and methodologies.</w:t>
      </w:r>
    </w:p>
    <w:p>
      <w:pPr>
        <w:autoSpaceDN w:val="0"/>
        <w:autoSpaceDE w:val="0"/>
        <w:widowControl/>
        <w:spacing w:line="220" w:lineRule="exact" w:before="120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Scope of Services. Ironwood Solutions shall provide the services described in Exhibit A (the "Services") to Keystone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Technologies in a professional and workmanlike manner, consistent with industry standards. Any changes to the scope of </w:t>
      </w:r>
      <w:r>
        <w:rPr>
          <w:rFonts w:ascii="Arial" w:hAnsi="Arial" w:eastAsia="Helvetica"/>
          <w:b w:val="0"/>
          <w:i w:val="0"/>
          <w:color w:val="1E1E23"/>
          <w:sz w:val="18"/>
        </w:rPr>
        <w:t>the Services must be agreed in writing by both parties before work begins.</w:t>
      </w:r>
    </w:p>
    <w:p>
      <w:pPr>
        <w:autoSpaceDN w:val="0"/>
        <w:autoSpaceDE w:val="0"/>
        <w:widowControl/>
        <w:spacing w:line="258" w:lineRule="exact" w:before="372" w:after="560"/>
        <w:ind w:left="6" w:right="0" w:firstLine="0"/>
        <w:jc w:val="left"/>
      </w:pPr>
      <w:r>
        <w:rPr>
          <w:rFonts w:ascii="Arial" w:hAnsi="Arial" w:eastAsia="Helvetica"/>
          <w:b w:val="0"/>
          <w:i/>
          <w:color w:val="1E1E23"/>
          <w:sz w:val="19"/>
        </w:rPr>
        <w:t>IN WITNESS WHEREOF, the parties have executed this Agreement as of the Effective Date.</w:t>
      </w:r>
    </w:p>
    <w:p>
      <w:pPr>
        <w:sectPr>
          <w:pgSz w:w="12240" w:h="15840"/>
          <w:pgMar w:top="610" w:right="1236" w:bottom="1440" w:left="12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7"/>
        </w:rPr>
        <w:t>Emma Fischer, Keystone Technologies</w:t>
      </w:r>
    </w:p>
    <w:p>
      <w:pPr>
        <w:sectPr>
          <w:type w:val="continuous"/>
          <w:pgSz w:w="12240" w:h="15840"/>
          <w:pgMar w:top="610" w:right="1236" w:bottom="1440" w:left="1274" w:header="720" w:footer="720" w:gutter="0"/>
          <w:cols w:num="2" w:equalWidth="0">
            <w:col w:w="4846" w:space="0"/>
            <w:col w:w="4884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400" w:right="0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7"/>
        </w:rPr>
        <w:t>Ravi Müller, Ironwood Solutions</w:t>
      </w:r>
    </w:p>
    <w:sectPr w:rsidR="00FC693F" w:rsidRPr="0006063C" w:rsidSect="00034616">
      <w:type w:val="nextColumn"/>
      <w:pgSz w:w="12240" w:h="15840"/>
      <w:pgMar w:top="610" w:right="1236" w:bottom="1440" w:left="1274" w:header="720" w:footer="720" w:gutter="0"/>
      <w:cols w:num="2" w:equalWidth="0">
        <w:col w:w="4846" w:space="0"/>
        <w:col w:w="488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