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40"/>
        <w:ind w:left="0" w:right="0"/>
      </w:pPr>
    </w:p>
    <w:p>
      <w:pPr>
        <w:autoSpaceDN w:val="0"/>
        <w:autoSpaceDE w:val="0"/>
        <w:widowControl/>
        <w:spacing w:line="414" w:lineRule="exact" w:before="0" w:after="76"/>
        <w:ind w:left="0" w:right="0" w:firstLine="0"/>
        <w:jc w:val="left"/>
      </w:pPr>
      <w:r>
        <w:rPr>
          <w:rFonts w:ascii="Arial" w:hAnsi="Arial" w:eastAsia="Helvetica"/>
          <w:b/>
          <w:i w:val="0"/>
          <w:color w:val="000000"/>
          <w:sz w:val="30"/>
        </w:rPr>
        <w:t>KPI Snapshot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60"/>
        <w:gridCol w:w="2460"/>
        <w:gridCol w:w="2460"/>
        <w:gridCol w:w="2460"/>
      </w:tblGrid>
      <w:tr>
        <w:trPr>
          <w:trHeight w:hRule="exact" w:val="412"/>
        </w:trPr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000000"/>
                <w:sz w:val="18"/>
              </w:rPr>
              <w:t>Figure 1: Monthly Revenue</w:t>
            </w:r>
          </w:p>
        </w:tc>
        <w:tc>
          <w:tcPr>
            <w:tcW w:type="dxa" w:w="1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42" w:after="0"/>
              <w:ind w:left="40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66666B"/>
                <w:sz w:val="14"/>
              </w:rPr>
              <w:t>HR (25)</w:t>
            </w:r>
          </w:p>
        </w:tc>
        <w:tc>
          <w:tcPr>
            <w:tcW w:type="dxa" w:w="4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0" w:firstLine="0"/>
              <w:jc w:val="center"/>
            </w:pPr>
            <w:r>
              <w:rPr>
                <w:rFonts w:ascii="Arial" w:hAnsi="Arial" w:eastAsia="Helvetica"/>
                <w:b/>
                <w:i w:val="0"/>
                <w:color w:val="000000"/>
                <w:sz w:val="18"/>
              </w:rPr>
              <w:t>Figure 2: Support Tickets by Region</w:t>
            </w:r>
          </w:p>
        </w:tc>
      </w:tr>
      <w:tr>
        <w:trPr>
          <w:trHeight w:hRule="exact" w:val="340"/>
        </w:trPr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20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62100" cy="1320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132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60"/>
            <w:vMerge/>
            <w:tcBorders/>
          </w:tcPr>
          <w:p/>
        </w:tc>
        <w:tc>
          <w:tcPr>
            <w:tcW w:type="dxa" w:w="3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574800" cy="13208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132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2" w:after="0"/>
              <w:ind w:left="40" w:right="432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66666B"/>
                <w:sz w:val="14"/>
              </w:rPr>
              <w:t xml:space="preserve">Finance (45) </w:t>
            </w:r>
            <w:r>
              <w:rPr>
                <w:rFonts w:ascii="Arial" w:hAnsi="Arial" w:eastAsia="Helvetica"/>
                <w:b w:val="0"/>
                <w:i w:val="0"/>
                <w:color w:val="66666B"/>
                <w:sz w:val="14"/>
              </w:rPr>
              <w:t xml:space="preserve">Eng (41) </w:t>
            </w:r>
            <w:r>
              <w:br/>
            </w:r>
            <w:r>
              <w:rPr>
                <w:rFonts w:ascii="Arial" w:hAnsi="Arial" w:eastAsia="Helvetica"/>
                <w:b w:val="0"/>
                <w:i w:val="0"/>
                <w:color w:val="66666B"/>
                <w:sz w:val="14"/>
              </w:rPr>
              <w:t xml:space="preserve">HR (58) </w:t>
            </w:r>
            <w:r>
              <w:br/>
            </w:r>
            <w:r>
              <w:rPr>
                <w:rFonts w:ascii="Arial" w:hAnsi="Arial" w:eastAsia="Helvetica"/>
                <w:b w:val="0"/>
                <w:i w:val="0"/>
                <w:color w:val="66666B"/>
                <w:sz w:val="14"/>
              </w:rPr>
              <w:t>Ops (11)</w:t>
            </w:r>
          </w:p>
        </w:tc>
      </w:tr>
      <w:tr>
        <w:trPr>
          <w:trHeight w:hRule="exact" w:val="260"/>
        </w:trPr>
        <w:tc>
          <w:tcPr>
            <w:tcW w:type="dxa" w:w="2460"/>
            <w:vMerge/>
            <w:tcBorders/>
          </w:tcPr>
          <w:p/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0" w:after="0"/>
              <w:ind w:left="40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66666B"/>
                <w:sz w:val="14"/>
              </w:rPr>
              <w:t>Finance (30)</w:t>
            </w:r>
          </w:p>
        </w:tc>
        <w:tc>
          <w:tcPr>
            <w:tcW w:type="dxa" w:w="2460"/>
            <w:vMerge/>
            <w:tcBorders/>
          </w:tcPr>
          <w:p/>
        </w:tc>
        <w:tc>
          <w:tcPr>
            <w:tcW w:type="dxa" w:w="2460"/>
            <w:vMerge/>
            <w:tcBorders/>
          </w:tcPr>
          <w:p/>
        </w:tc>
      </w:tr>
      <w:tr>
        <w:trPr>
          <w:trHeight w:hRule="exact" w:val="1600"/>
        </w:trPr>
        <w:tc>
          <w:tcPr>
            <w:tcW w:type="dxa" w:w="2460"/>
            <w:vMerge/>
            <w:tcBorders/>
          </w:tcPr>
          <w:p/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0" w:after="0"/>
              <w:ind w:left="40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66666B"/>
                <w:sz w:val="14"/>
              </w:rPr>
              <w:t>Eng (21)</w:t>
            </w:r>
          </w:p>
        </w:tc>
        <w:tc>
          <w:tcPr>
            <w:tcW w:type="dxa" w:w="2460"/>
            <w:vMerge/>
            <w:tcBorders/>
          </w:tcPr>
          <w:p/>
        </w:tc>
        <w:tc>
          <w:tcPr>
            <w:tcW w:type="dxa" w:w="246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458" w:right="14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