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pStyle w:val="Heading1"/>
        <w:widowControl/>
        <w:spacing w:line="414" w:lineRule="exact" w:before="0" w:after="0"/>
        <w:ind w:left="8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30"/>
        </w:rPr>
        <w:t>Annual Performance Report</w:t>
      </w:r>
    </w:p>
    <w:p>
      <w:pPr>
        <w:autoSpaceDN w:val="0"/>
        <w:autoSpaceDE w:val="0"/>
        <w:widowControl/>
        <w:spacing w:line="248" w:lineRule="exact" w:before="136" w:after="76"/>
        <w:ind w:left="8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18"/>
        </w:rPr>
        <w:t>Figure 1: Market Share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356"/>
      </w:tblGrid>
      <w:tr>
        <w:trPr>
          <w:trHeight w:hRule="exact" w:val="2808"/>
        </w:trPr>
        <w:tc>
          <w:tcPr>
            <w:tcW w:type="dxa" w:w="10328"/>
            <w:tcBorders>
              <w:start w:sz="6.400000095367432" w:val="single" w:color="#66666B"/>
              <w:bottom w:sz="6.400000095367432" w:val="single" w:color="#66666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726"/>
        <w:gridCol w:w="1726"/>
        <w:gridCol w:w="1726"/>
        <w:gridCol w:w="1726"/>
        <w:gridCol w:w="1726"/>
        <w:gridCol w:w="1726"/>
      </w:tblGrid>
      <w:tr>
        <w:trPr>
          <w:trHeight w:hRule="exact" w:val="28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42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82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Jun</w:t>
            </w:r>
          </w:p>
        </w:tc>
      </w:tr>
    </w:tbl>
    <w:p>
      <w:pPr>
        <w:autoSpaceDN w:val="0"/>
        <w:autoSpaceDE w:val="0"/>
        <w:widowControl/>
        <w:spacing w:line="248" w:lineRule="exact" w:before="72" w:after="374"/>
        <w:ind w:left="8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18"/>
        </w:rPr>
        <w:t>Figure 2: Market Share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5178"/>
        <w:gridCol w:w="5178"/>
      </w:tblGrid>
      <w:tr>
        <w:trPr>
          <w:trHeight w:hRule="exact" w:val="221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2100" cy="132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40" w:right="3312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Finance (54)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Ops (46)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Eng (54)</w:t>
            </w:r>
          </w:p>
        </w:tc>
      </w:tr>
    </w:tbl>
    <w:p>
      <w:pPr>
        <w:autoSpaceDN w:val="0"/>
        <w:autoSpaceDE w:val="0"/>
        <w:widowControl/>
        <w:spacing w:line="248" w:lineRule="exact" w:before="648" w:after="76"/>
        <w:ind w:left="8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18"/>
        </w:rPr>
        <w:t>Figure 3: Website Traffic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356"/>
      </w:tblGrid>
      <w:tr>
        <w:trPr>
          <w:trHeight w:hRule="exact" w:val="2808"/>
        </w:trPr>
        <w:tc>
          <w:tcPr>
            <w:tcW w:type="dxa" w:w="10328"/>
            <w:tcBorders>
              <w:start w:sz="6.400000095367432" w:val="single" w:color="#66666B"/>
              <w:bottom w:sz="6.400000095367432" w:val="single" w:color="#66666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8.0" w:type="dxa"/>
      </w:tblPr>
      <w:tblGrid>
        <w:gridCol w:w="2589"/>
        <w:gridCol w:w="2589"/>
        <w:gridCol w:w="2589"/>
        <w:gridCol w:w="2589"/>
      </w:tblGrid>
      <w:tr>
        <w:trPr>
          <w:trHeight w:hRule="exact" w:val="17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172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59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60" w:right="932" w:bottom="1440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8" w:lineRule="exact" w:before="0" w:after="374"/>
        <w:ind w:left="0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18"/>
        </w:rPr>
        <w:t>Figure 4: Units Shipped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920"/>
        <w:gridCol w:w="4920"/>
      </w:tblGrid>
      <w:tr>
        <w:trPr>
          <w:trHeight w:hRule="exact" w:val="213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62100" cy="132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40" w:right="3024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Sales (27)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Eng (44)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Finance (54)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Ops (23)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HR (18)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7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