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58" w:lineRule="exact" w:before="238" w:after="0"/>
        <w:ind w:firstLine="0"/>
        <w:jc w:val="center"/>
      </w:pPr>
      <w:r>
        <w:rPr>
          <w:rFonts w:ascii="Arial" w:hAnsi="Arial" w:eastAsia="Helvetica"/>
          <w:b/>
          <w:i w:val="0"/>
          <w:color w:val="334C6B"/>
          <w:sz w:val="36"/>
        </w:rPr>
        <w:t xml:space="preserve">Trailhead Holdings </w:t>
      </w:r>
      <w:r>
        <w:br/>
      </w:r>
    </w:p>
    <w:p>
      <w:pPr>
        <w:autoSpaceDN w:val="0"/>
        <w:autoSpaceDE w:val="0"/>
        <w:widowControl/>
        <w:spacing w:line="258" w:lineRule="exact" w:before="238" w:after="0"/>
        <w:ind w:firstLine="0"/>
        <w:jc w:val="center"/>
        <w:pBdr>
          <w:bottom w:val="single" w:sz="6" w:space="1" w:color="auto"/>
        </w:pBdr>
      </w:pPr>
      <w:r>
        <w:rPr>
          <w:rFonts w:ascii="Arial" w:hAnsi="Arial" w:eastAsia="Helvetica"/>
          <w:b w:val="0"/>
          <w:i w:val="0"/>
          <w:color w:val="72727A"/>
          <w:sz w:val="16"/>
        </w:rPr>
        <w:t>6657 Lake View Dr, Seattle, WA 98101 · (663) 463-6797 · trailhead.holdings@corp.example</w:t>
      </w:r>
    </w:p>
    <w:p>
      <w:pPr>
        <w:autoSpaceDN w:val="0"/>
        <w:autoSpaceDE w:val="0"/>
        <w:widowControl/>
        <w:spacing w:line="214" w:lineRule="exact" w:before="798" w:after="0"/>
        <w:ind w:left="14" w:right="6048" w:firstLine="0"/>
        <w:jc w:val="left"/>
      </w:pPr>
      <w:r>
        <w:rPr>
          <w:rFonts w:ascii="Arial" w:hAnsi="Arial" w:eastAsia="Helvetica"/>
          <w:b/>
          <w:i w:val="0"/>
          <w:color w:val="1E1E23"/>
          <w:sz w:val="26"/>
        </w:rPr>
        <w:t xml:space="preserve">Invoice INV-86237 </w:t>
      </w:r>
      <w:r>
        <w:br/>
      </w:r>
      <w:r>
        <w:rPr>
          <w:rFonts w:ascii="Arial" w:hAnsi="Arial" w:eastAsia="Helvetica"/>
          <w:b w:val="0"/>
          <w:i w:val="0"/>
          <w:color w:val="72727A"/>
          <w:sz w:val="18"/>
        </w:rPr>
        <w:t>Issued Feb 13, 2024 — payment due Nov 7, 2025</w:t>
      </w:r>
    </w:p>
    <w:p>
      <w:pPr>
        <w:autoSpaceDN w:val="0"/>
        <w:autoSpaceDE w:val="0"/>
        <w:widowControl/>
        <w:spacing w:line="260" w:lineRule="exact" w:before="152" w:after="1198"/>
        <w:ind w:left="14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Billed to: Pinnacle Manufacturing, 1490 Maple Dr, Portland, OR 97201 (contact: Olivia Larsen)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532"/>
        <w:gridCol w:w="2532"/>
        <w:gridCol w:w="2532"/>
        <w:gridCol w:w="2532"/>
      </w:tblGrid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Item / Service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Qty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Rate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42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Total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Design services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6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$587.93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$3,527.58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Steel bracket (10-pack)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8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$794.38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$6,355.04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Security audit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8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$681.79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$5,454.32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Thermal sensor unit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10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$655.45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$6,554.50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Design services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5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$528.20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$2,641.00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Quarterly review workshop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11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$326.44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$3,590.84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Design services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7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$320.43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$2,243.01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Steel bracket (10-pack)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5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$454.51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$2,272.55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5064"/>
        <w:gridCol w:w="5064"/>
      </w:tblGrid>
      <w:tr>
        <w:trPr>
          <w:trHeight w:hRule="exact" w:val="5884"/>
        </w:trPr>
        <w:tc>
          <w:tcPr>
            <w:tcW w:type="dxa" w:w="8146"/>
            <w:tcBorders>
              <w:bottom w:sz="4.800000190734863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6286" w:right="72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 xml:space="preserve">Subtotal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 xml:space="preserve">Tax (8.25%) </w:t>
            </w:r>
            <w:r>
              <w:br/>
            </w:r>
            <w:r>
              <w:rPr>
                <w:rFonts w:ascii="Arial" w:hAnsi="Arial" w:eastAsia="Helvetica"/>
                <w:b/>
                <w:i w:val="0"/>
                <w:color w:val="1E1E23"/>
                <w:sz w:val="22"/>
              </w:rPr>
              <w:t>TOTAL</w:t>
            </w:r>
          </w:p>
        </w:tc>
        <w:tc>
          <w:tcPr>
            <w:tcW w:type="dxa" w:w="1946"/>
            <w:tcBorders>
              <w:bottom w:sz="4.800000190734863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720" w:right="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 xml:space="preserve">$32,638.84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 xml:space="preserve">$2,692.70 </w:t>
            </w:r>
            <w:r>
              <w:br/>
            </w:r>
            <w:r>
              <w:rPr>
                <w:rFonts w:ascii="Arial" w:hAnsi="Arial" w:eastAsia="Helvetica"/>
                <w:b/>
                <w:i w:val="0"/>
                <w:color w:val="1E1E23"/>
                <w:sz w:val="22"/>
              </w:rPr>
              <w:t>$35,331.54</w:t>
            </w:r>
          </w:p>
        </w:tc>
      </w:tr>
    </w:tbl>
    <w:p>
      <w:pPr>
        <w:autoSpaceDN w:val="0"/>
        <w:autoSpaceDE w:val="0"/>
        <w:widowControl/>
        <w:spacing w:line="232" w:lineRule="exact" w:before="102" w:after="0"/>
        <w:ind w:left="14" w:right="144" w:firstLine="0"/>
        <w:jc w:val="left"/>
      </w:pPr>
      <w:r>
        <w:rPr>
          <w:rFonts w:ascii="Arial" w:hAnsi="Arial" w:eastAsia="Helvetica"/>
          <w:b/>
          <w:i w:val="0"/>
          <w:color w:val="72727A"/>
          <w:sz w:val="17"/>
        </w:rPr>
        <w:t xml:space="preserve">Terms &amp; Conditions </w:t>
      </w:r>
      <w:r>
        <w:br/>
      </w:r>
      <w:r>
        <w:rPr>
          <w:rFonts w:ascii="Arial" w:hAnsi="Arial" w:eastAsia="Helvetica"/>
          <w:b w:val="0"/>
          <w:i w:val="0"/>
          <w:color w:val="72727A"/>
          <w:sz w:val="15"/>
        </w:rPr>
        <w:t xml:space="preserve">Payment due within 45 days of the invoice date. A late fee of 1.5% per month applies to overdue balances. Please reference the invoice number on all </w:t>
      </w:r>
      <w:r>
        <w:rPr>
          <w:rFonts w:ascii="Arial" w:hAnsi="Arial" w:eastAsia="Helvetica"/>
          <w:b w:val="0"/>
          <w:i w:val="0"/>
          <w:color w:val="72727A"/>
          <w:sz w:val="15"/>
        </w:rPr>
        <w:t>payments.</w:t>
      </w:r>
    </w:p>
    <w:sectPr w:rsidR="00FC693F" w:rsidRPr="0006063C" w:rsidSect="00034616">
      <w:pgSz w:w="12240" w:h="15840"/>
      <w:pgMar w:top="448" w:right="1046" w:bottom="682" w:left="10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