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58" w:lineRule="exact" w:before="238" w:after="0"/>
        <w:ind w:firstLine="0"/>
        <w:jc w:val="center"/>
      </w:pPr>
      <w:r>
        <w:rPr>
          <w:rFonts w:ascii="Arial" w:hAnsi="Arial" w:eastAsia="Helvetica"/>
          <w:b/>
          <w:i w:val="0"/>
          <w:color w:val="334C6B"/>
          <w:sz w:val="36"/>
        </w:rPr>
        <w:t xml:space="preserve">Vanguard Labs </w:t>
      </w:r>
      <w:r>
        <w:br/>
      </w:r>
    </w:p>
    <w:p>
      <w:pPr>
        <w:autoSpaceDN w:val="0"/>
        <w:autoSpaceDE w:val="0"/>
        <w:widowControl/>
        <w:spacing w:line="258" w:lineRule="exact" w:before="238" w:after="0"/>
        <w:ind w:firstLine="0"/>
        <w:jc w:val="center"/>
        <w:pBdr>
          <w:bottom w:val="single" w:sz="6" w:space="1" w:color="auto"/>
        </w:pBdr>
      </w:pPr>
      <w:r>
        <w:rPr>
          <w:rFonts w:ascii="Arial" w:hAnsi="Arial" w:eastAsia="Helvetica"/>
          <w:b w:val="0"/>
          <w:i w:val="0"/>
          <w:color w:val="72727A"/>
          <w:sz w:val="16"/>
        </w:rPr>
        <w:t>9349 Birch Blvd, Denver, CO 80202 · (542) 383-3312 · vanguard.labs@corp.example</w:t>
      </w:r>
    </w:p>
    <w:p>
      <w:pPr>
        <w:autoSpaceDN w:val="0"/>
        <w:autoSpaceDE w:val="0"/>
        <w:widowControl/>
        <w:spacing w:line="214" w:lineRule="exact" w:before="798" w:after="0"/>
        <w:ind w:left="14" w:right="6048" w:firstLine="0"/>
        <w:jc w:val="left"/>
      </w:pPr>
      <w:r>
        <w:rPr>
          <w:rFonts w:ascii="Arial" w:hAnsi="Arial" w:eastAsia="Helvetica"/>
          <w:b/>
          <w:i w:val="0"/>
          <w:color w:val="1E1E23"/>
          <w:sz w:val="26"/>
        </w:rPr>
        <w:t xml:space="preserve">Invoice INV-38770 </w:t>
      </w:r>
      <w:r>
        <w:br/>
      </w:r>
      <w:r>
        <w:rPr>
          <w:rFonts w:ascii="Arial" w:hAnsi="Arial" w:eastAsia="Helvetica"/>
          <w:b w:val="0"/>
          <w:i w:val="0"/>
          <w:color w:val="72727A"/>
          <w:sz w:val="18"/>
        </w:rPr>
        <w:t>Issued Jan 13, 2024 — payment due Jan 3, 2025</w:t>
      </w:r>
    </w:p>
    <w:p>
      <w:pPr>
        <w:autoSpaceDN w:val="0"/>
        <w:autoSpaceDE w:val="0"/>
        <w:widowControl/>
        <w:spacing w:line="260" w:lineRule="exact" w:before="152" w:after="1198"/>
        <w:ind w:left="14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>Billed to: Meridian Dynamics, 4486 Birch Blvd, Denver, CO 80202 (contact: Marcus Smith)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2532"/>
        <w:gridCol w:w="2532"/>
        <w:gridCol w:w="2532"/>
        <w:gridCol w:w="2532"/>
      </w:tblGrid>
      <w:tr>
        <w:trPr>
          <w:trHeight w:hRule="exact" w:val="340"/>
        </w:trPr>
        <w:tc>
          <w:tcPr>
            <w:tcW w:type="dxa" w:w="52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56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8"/>
              </w:rPr>
              <w:t>Item / Service</w:t>
            </w:r>
          </w:p>
        </w:tc>
        <w:tc>
          <w:tcPr>
            <w:tcW w:type="dxa" w:w="1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56" w:firstLine="0"/>
              <w:jc w:val="right"/>
            </w:pPr>
            <w:r>
              <w:rPr>
                <w:rFonts w:ascii="Arial" w:hAnsi="Arial" w:eastAsia="Helvetica"/>
                <w:b/>
                <w:i w:val="0"/>
                <w:color w:val="1E1E23"/>
                <w:sz w:val="18"/>
              </w:rPr>
              <w:t>Qty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56" w:firstLine="0"/>
              <w:jc w:val="right"/>
            </w:pPr>
            <w:r>
              <w:rPr>
                <w:rFonts w:ascii="Arial" w:hAnsi="Arial" w:eastAsia="Helvetica"/>
                <w:b/>
                <w:i w:val="0"/>
                <w:color w:val="1E1E23"/>
                <w:sz w:val="18"/>
              </w:rPr>
              <w:t>Rate</w:t>
            </w:r>
          </w:p>
        </w:tc>
        <w:tc>
          <w:tcPr>
            <w:tcW w:type="dxa" w:w="2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42" w:firstLine="0"/>
              <w:jc w:val="right"/>
            </w:pPr>
            <w:r>
              <w:rPr>
                <w:rFonts w:ascii="Arial" w:hAnsi="Arial" w:eastAsia="Helvetica"/>
                <w:b/>
                <w:i w:val="0"/>
                <w:color w:val="1E1E23"/>
                <w:sz w:val="18"/>
              </w:rPr>
              <w:t>Total</w:t>
            </w:r>
          </w:p>
        </w:tc>
      </w:tr>
      <w:tr>
        <w:trPr>
          <w:trHeight w:hRule="exact" w:val="340"/>
        </w:trPr>
        <w:tc>
          <w:tcPr>
            <w:tcW w:type="dxa" w:w="52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Junction box</w:t>
            </w:r>
          </w:p>
        </w:tc>
        <w:tc>
          <w:tcPr>
            <w:tcW w:type="dxa" w:w="1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2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$230.43</w:t>
            </w:r>
          </w:p>
        </w:tc>
        <w:tc>
          <w:tcPr>
            <w:tcW w:type="dxa" w:w="2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$460.86</w:t>
            </w:r>
          </w:p>
        </w:tc>
      </w:tr>
      <w:tr>
        <w:trPr>
          <w:trHeight w:hRule="exact" w:val="340"/>
        </w:trPr>
        <w:tc>
          <w:tcPr>
            <w:tcW w:type="dxa" w:w="52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Widget A-200</w:t>
            </w:r>
          </w:p>
        </w:tc>
        <w:tc>
          <w:tcPr>
            <w:tcW w:type="dxa" w:w="1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10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$608.37</w:t>
            </w:r>
          </w:p>
        </w:tc>
        <w:tc>
          <w:tcPr>
            <w:tcW w:type="dxa" w:w="2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$6,083.70</w:t>
            </w:r>
          </w:p>
        </w:tc>
      </w:tr>
      <w:tr>
        <w:trPr>
          <w:trHeight w:hRule="exact" w:val="340"/>
        </w:trPr>
        <w:tc>
          <w:tcPr>
            <w:tcW w:type="dxa" w:w="52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Content production</w:t>
            </w:r>
          </w:p>
        </w:tc>
        <w:tc>
          <w:tcPr>
            <w:tcW w:type="dxa" w:w="1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3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$397.29</w:t>
            </w:r>
          </w:p>
        </w:tc>
        <w:tc>
          <w:tcPr>
            <w:tcW w:type="dxa" w:w="2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$1,191.87</w:t>
            </w:r>
          </w:p>
        </w:tc>
      </w:tr>
      <w:tr>
        <w:trPr>
          <w:trHeight w:hRule="exact" w:val="340"/>
        </w:trPr>
        <w:tc>
          <w:tcPr>
            <w:tcW w:type="dxa" w:w="52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Power supply 450W</w:t>
            </w:r>
          </w:p>
        </w:tc>
        <w:tc>
          <w:tcPr>
            <w:tcW w:type="dxa" w:w="1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7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$872.90</w:t>
            </w:r>
          </w:p>
        </w:tc>
        <w:tc>
          <w:tcPr>
            <w:tcW w:type="dxa" w:w="2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$6,110.30</w:t>
            </w:r>
          </w:p>
        </w:tc>
      </w:tr>
      <w:tr>
        <w:trPr>
          <w:trHeight w:hRule="exact" w:val="340"/>
        </w:trPr>
        <w:tc>
          <w:tcPr>
            <w:tcW w:type="dxa" w:w="52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Thermal sensor unit</w:t>
            </w:r>
          </w:p>
        </w:tc>
        <w:tc>
          <w:tcPr>
            <w:tcW w:type="dxa" w:w="1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9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$186.05</w:t>
            </w:r>
          </w:p>
        </w:tc>
        <w:tc>
          <w:tcPr>
            <w:tcW w:type="dxa" w:w="2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$1,674.45</w:t>
            </w:r>
          </w:p>
        </w:tc>
      </w:tr>
      <w:tr>
        <w:trPr>
          <w:trHeight w:hRule="exact" w:val="340"/>
        </w:trPr>
        <w:tc>
          <w:tcPr>
            <w:tcW w:type="dxa" w:w="52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Industrial adhesive 1L</w:t>
            </w:r>
          </w:p>
        </w:tc>
        <w:tc>
          <w:tcPr>
            <w:tcW w:type="dxa" w:w="1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6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$529.07</w:t>
            </w:r>
          </w:p>
        </w:tc>
        <w:tc>
          <w:tcPr>
            <w:tcW w:type="dxa" w:w="2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$3,174.42</w:t>
            </w:r>
          </w:p>
        </w:tc>
      </w:tr>
      <w:tr>
        <w:trPr>
          <w:trHeight w:hRule="exact" w:val="340"/>
        </w:trPr>
        <w:tc>
          <w:tcPr>
            <w:tcW w:type="dxa" w:w="52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Bearing assembly</w:t>
            </w:r>
          </w:p>
        </w:tc>
        <w:tc>
          <w:tcPr>
            <w:tcW w:type="dxa" w:w="1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4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$583.89</w:t>
            </w:r>
          </w:p>
        </w:tc>
        <w:tc>
          <w:tcPr>
            <w:tcW w:type="dxa" w:w="2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$2,335.56</w:t>
            </w:r>
          </w:p>
        </w:tc>
      </w:tr>
      <w:tr>
        <w:trPr>
          <w:trHeight w:hRule="exact" w:val="340"/>
        </w:trPr>
        <w:tc>
          <w:tcPr>
            <w:tcW w:type="dxa" w:w="52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Quarterly review workshop</w:t>
            </w:r>
          </w:p>
        </w:tc>
        <w:tc>
          <w:tcPr>
            <w:tcW w:type="dxa" w:w="1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8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$827.87</w:t>
            </w:r>
          </w:p>
        </w:tc>
        <w:tc>
          <w:tcPr>
            <w:tcW w:type="dxa" w:w="2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$6,622.96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5064"/>
        <w:gridCol w:w="5064"/>
      </w:tblGrid>
      <w:tr>
        <w:trPr>
          <w:trHeight w:hRule="exact" w:val="5884"/>
        </w:trPr>
        <w:tc>
          <w:tcPr>
            <w:tcW w:type="dxa" w:w="7986"/>
            <w:tcBorders>
              <w:bottom w:sz="4.800000190734863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6192" w:right="864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 xml:space="preserve">Subtotal </w:t>
            </w:r>
            <w:r>
              <w:br/>
            </w:r>
            <w:r>
              <w:rPr>
                <w:rFonts w:ascii="Arial" w:hAnsi="Arial" w:eastAsia="Helvetica"/>
                <w:b/>
                <w:i w:val="0"/>
                <w:color w:val="1E1E23"/>
                <w:sz w:val="22"/>
              </w:rPr>
              <w:t>TOTAL</w:t>
            </w:r>
          </w:p>
        </w:tc>
        <w:tc>
          <w:tcPr>
            <w:tcW w:type="dxa" w:w="2106"/>
            <w:tcBorders>
              <w:bottom w:sz="4.800000190734863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1000" w:right="0" w:firstLine="15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 xml:space="preserve">$27,654.12 </w:t>
            </w:r>
            <w:r>
              <w:rPr>
                <w:rFonts w:ascii="Arial" w:hAnsi="Arial" w:eastAsia="Helvetica"/>
                <w:b/>
                <w:i w:val="0"/>
                <w:color w:val="1E1E23"/>
                <w:sz w:val="22"/>
              </w:rPr>
              <w:t>$27,654.12</w:t>
            </w:r>
          </w:p>
        </w:tc>
      </w:tr>
    </w:tbl>
    <w:p>
      <w:pPr>
        <w:autoSpaceDN w:val="0"/>
        <w:autoSpaceDE w:val="0"/>
        <w:widowControl/>
        <w:spacing w:line="232" w:lineRule="exact" w:before="102" w:after="0"/>
        <w:ind w:left="14" w:right="144" w:firstLine="0"/>
        <w:jc w:val="left"/>
      </w:pPr>
      <w:r>
        <w:rPr>
          <w:rFonts w:ascii="Arial" w:hAnsi="Arial" w:eastAsia="Helvetica"/>
          <w:b/>
          <w:i w:val="0"/>
          <w:color w:val="72727A"/>
          <w:sz w:val="17"/>
        </w:rPr>
        <w:t xml:space="preserve">Terms &amp; Conditions </w:t>
      </w:r>
      <w:r>
        <w:br/>
      </w:r>
      <w:r>
        <w:rPr>
          <w:rFonts w:ascii="Arial" w:hAnsi="Arial" w:eastAsia="Helvetica"/>
          <w:b w:val="0"/>
          <w:i w:val="0"/>
          <w:color w:val="72727A"/>
          <w:sz w:val="15"/>
        </w:rPr>
        <w:t xml:space="preserve">Payment due within 60 days of the invoice date. A late fee of 1.5% per month applies to overdue balances. Please reference the invoice number on all </w:t>
      </w:r>
      <w:r>
        <w:rPr>
          <w:rFonts w:ascii="Arial" w:hAnsi="Arial" w:eastAsia="Helvetica"/>
          <w:b w:val="0"/>
          <w:i w:val="0"/>
          <w:color w:val="72727A"/>
          <w:sz w:val="15"/>
        </w:rPr>
        <w:t>payments.</w:t>
      </w:r>
    </w:p>
    <w:sectPr w:rsidR="00FC693F" w:rsidRPr="0006063C" w:rsidSect="00034616">
      <w:pgSz w:w="12240" w:h="15840"/>
      <w:pgMar w:top="448" w:right="1046" w:bottom="682" w:left="10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