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328" w:firstLine="0"/>
        <w:jc w:val="left"/>
      </w:pPr>
      <w:r>
        <w:rPr>
          <w:rFonts w:ascii="Arial" w:hAnsi="Arial" w:eastAsia="Helvetica"/>
          <w:b/>
          <w:i w:val="0"/>
          <w:color w:val="1E1E23"/>
          <w:sz w:val="40"/>
        </w:rPr>
        <w:t xml:space="preserve">Nina Fischer </w:t>
      </w:r>
      <w:r>
        <w:br/>
      </w:r>
    </w:p>
    <w:p>
      <w:pPr>
        <w:autoSpaceDN w:val="0"/>
        <w:autoSpaceDE w:val="0"/>
        <w:widowControl/>
        <w:spacing w:line="232" w:lineRule="exact" w:before="318" w:after="166"/>
        <w:ind w:left="0" w:right="5328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>nina.fischer@corp.example | (784) 822-7782 | Phoenix, AZ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164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Project Management • Communication • Tableau • Customer Relations • React • AWS • SQL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20"/>
        </w:trPr>
        <w:tc>
          <w:tcPr>
            <w:tcW w:type="dxa" w:w="590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418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5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HR Generalist — Evergreen Works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Nov 2015 -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3456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the quarterly reporting pipeline, growing revenue 9% year over year.</w:t>
      </w:r>
      <w:r>
        <w:rPr>
          <w:rFonts w:ascii="Arial" w:hAnsi="Arial" w:eastAsia="Helvetica"/>
          <w:b w:val="0"/>
          <w:i w:val="0"/>
          <w:color w:val="1E1E23"/>
          <w:sz w:val="18"/>
        </w:rPr>
        <w:t>• Managed the annual planning cycle, reducing errors by 28%.</w:t>
      </w:r>
    </w:p>
    <w:p>
      <w:pPr>
        <w:autoSpaceDN w:val="0"/>
        <w:tabs>
          <w:tab w:pos="8424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Content Strategist — Trailhead Holdings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Aug 2019 - Oct 2021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an automated QA workflow, cutting costs by 16%.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Negotiated the migration to a new CRM platform, growing revenue 36% year over year.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M.S. Data Science, Central Polytechnic Institute (2019)</w:t>
      </w:r>
    </w:p>
    <w:sectPr w:rsidR="00FC693F" w:rsidRPr="0006063C" w:rsidSect="00034616">
      <w:pgSz w:w="12240" w:h="15840"/>
      <w:pgMar w:top="506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