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4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46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16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Maria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Ivanov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29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maria.ivanov@postbox.example </w:t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(284) 820-3484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Chicago, IL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30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Salesforce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Copywriting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SQL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React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Communication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46"/>
      </w:tblGrid>
      <w:tr>
        <w:trPr>
          <w:trHeight w:hRule="exact" w:val="280"/>
        </w:trPr>
        <w:tc>
          <w:tcPr>
            <w:tcW w:type="dxa" w:w="27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Statistical Analysis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4" w:bottom="0" w:left="0" w:header="720" w:footer="720" w:gutter="0"/>
          <w:cols w:num="2" w:equalWidth="0">
            <w:col w:w="4080" w:space="0"/>
            <w:col w:w="7105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62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DevOps Engineer — Northwind Dynamics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Jan 2014 -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weekly stakeholder reviews, saving roughly 89 hours per month.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procurement processes for 14 product lines, cutting costs by 24%.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an automated QA workflow, increasing satisfaction scores by 42%.</w:t>
      </w:r>
    </w:p>
    <w:p>
      <w:pPr>
        <w:autoSpaceDN w:val="0"/>
        <w:tabs>
          <w:tab w:pos="5476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Supply Chain Analyst — Apex Labs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2018 - Jul 2024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weekly stakeholder reviews, growing revenue 45%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Reduced the annual planning cycle, improving turnaround time by 25%.</w:t>
      </w:r>
    </w:p>
    <w:p>
      <w:pPr>
        <w:autoSpaceDN w:val="0"/>
        <w:tabs>
          <w:tab w:pos="5416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DevOps Engineer — Pinnacle Partners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Jan 2020 - Nov 2024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Automated procurement processes for 31 product lines, saving roughly 48 hours </w:t>
      </w:r>
      <w:r>
        <w:rPr>
          <w:rFonts w:ascii="Arial" w:hAnsi="Arial" w:eastAsia="Helvetica"/>
          <w:b w:val="0"/>
          <w:i w:val="0"/>
          <w:color w:val="1E1E23"/>
          <w:sz w:val="18"/>
        </w:rPr>
        <w:t>per month.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Negotiated a budget of $645K across 11 projects, improving turnaround time by </w:t>
      </w:r>
      <w:r>
        <w:rPr>
          <w:rFonts w:ascii="Arial" w:hAnsi="Arial" w:eastAsia="Helvetica"/>
          <w:b w:val="0"/>
          <w:i w:val="0"/>
          <w:color w:val="1E1E23"/>
          <w:sz w:val="18"/>
        </w:rPr>
        <w:t>23%.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the regional sales strategy, reducing errors by 40%.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Accounting, State University of Ohio (2006)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Computer Science, Harborview State University (2014)</w:t>
      </w:r>
    </w:p>
    <w:sectPr w:rsidR="00FC693F" w:rsidRPr="0006063C" w:rsidSect="00034616">
      <w:type w:val="nextColumn"/>
      <w:pgSz w:w="12240" w:h="15840"/>
      <w:pgMar w:top="0" w:right="1054" w:bottom="0" w:left="0" w:header="720" w:footer="720" w:gutter="0"/>
      <w:cols w:num="2" w:equalWidth="0">
        <w:col w:w="4080" w:space="0"/>
        <w:col w:w="710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